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48"/>
          <w:szCs w:val="48"/>
        </w:rPr>
      </w:pPr>
      <w:r w:rsidDel="00000000" w:rsidR="00000000" w:rsidRPr="00000000">
        <w:rPr>
          <w:sz w:val="48"/>
          <w:szCs w:val="48"/>
          <w:rtl w:val="0"/>
        </w:rPr>
        <w:t xml:space="preserve">Dutch Reach Project Strategy Flow Chart</w:t>
      </w:r>
    </w:p>
    <w:p w:rsidR="00000000" w:rsidDel="00000000" w:rsidP="00000000" w:rsidRDefault="00000000" w:rsidRPr="00000000" w14:paraId="00000002">
      <w:pPr>
        <w:rPr>
          <w:sz w:val="48"/>
          <w:szCs w:val="48"/>
        </w:rPr>
      </w:pPr>
      <w:r w:rsidDel="00000000" w:rsidR="00000000" w:rsidRPr="00000000">
        <w:rPr>
          <w:sz w:val="48"/>
          <w:szCs w:val="48"/>
        </w:rPr>
        <w:drawing>
          <wp:inline distB="114300" distT="114300" distL="114300" distR="114300">
            <wp:extent cx="5943600" cy="34290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9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Dutch Reach Project Strategy Chart. DRP will introduce the Dutch anti dooring countermeasure into public road safety culture &amp; established driver education &amp; training programs. </w:t>
      </w:r>
    </w:p>
    <w:p w:rsidR="00000000" w:rsidDel="00000000" w:rsidP="00000000" w:rsidRDefault="00000000" w:rsidRPr="00000000" w14:paraId="0000000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Strategic plan proceeds from left to right. Left column: DRP develops research, resources &amp; capacities to educate &amp; influence important constituencies. </w:t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Outreach to constituencies [middle column] is made either directly or via electronic media transmission &amp; amplification. </w:t>
      </w:r>
    </w:p>
    <w:p w:rsidR="00000000" w:rsidDel="00000000" w:rsidP="00000000" w:rsidRDefault="00000000" w:rsidRPr="00000000" w14:paraId="0000000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Persuaded allies &amp; interest groups then promote the Dutch Reach directly to motorists, or lobby key decision makers &amp; institutions to endorse, promote &amp; teach the far hand Dutch method using their established educational means [right column].</w:t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DRP will then gather relevant news, media reports &amp; new resources (graphics, videos, campaign ideas &amp; materials etc.) making these available on the project website &amp; also rebroadcast by the Project using social media.. A virtuous cycle of awareness, capacity, advocacy &amp; progress will be generated as the Dutch Reach meme &amp; Project spread to additional geographic &amp; linguistic populations with anti-dooring need.</w:t>
      </w:r>
    </w:p>
    <w:p w:rsidR="00000000" w:rsidDel="00000000" w:rsidP="00000000" w:rsidRDefault="00000000" w:rsidRPr="00000000" w14:paraId="00000008">
      <w:pPr>
        <w:rPr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48"/>
          <w:szCs w:val="48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