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Hlk113903797" w:displacedByCustomXml="next"/>
    <w:bookmarkEnd w:id="0" w:displacedByCustomXml="next"/>
    <w:sdt>
      <w:sdtPr>
        <w:rPr>
          <w:rFonts w:eastAsiaTheme="minorHAnsi"/>
          <w:color w:val="4472C4" w:themeColor="accent1"/>
        </w:rPr>
        <w:id w:val="2099980129"/>
        <w:docPartObj>
          <w:docPartGallery w:val="Cover Pages"/>
          <w:docPartUnique/>
        </w:docPartObj>
      </w:sdtPr>
      <w:sdtEndPr>
        <w:rPr>
          <w:color w:val="auto"/>
        </w:rPr>
      </w:sdtEndPr>
      <w:sdtContent>
        <w:p w14:paraId="2913610D" w14:textId="1A7611CE" w:rsidR="00AF342E" w:rsidRDefault="00AF342E">
          <w:pPr>
            <w:pStyle w:val="NoSpacing"/>
            <w:spacing w:before="1540" w:after="240"/>
            <w:jc w:val="center"/>
            <w:rPr>
              <w:color w:val="4472C4" w:themeColor="accent1"/>
            </w:rPr>
          </w:pPr>
          <w:r>
            <w:rPr>
              <w:noProof/>
              <w:color w:val="4472C4" w:themeColor="accent1"/>
            </w:rPr>
            <w:drawing>
              <wp:inline distT="0" distB="0" distL="0" distR="0" wp14:anchorId="36384B02" wp14:editId="28A25EAD">
                <wp:extent cx="1417320" cy="750898"/>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8"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Book Antiqua" w:eastAsia="Calibri" w:hAnsi="Book Antiqua" w:cs="Times New Roman"/>
              <w:b/>
              <w:bCs/>
              <w:color w:val="1F3864" w:themeColor="accent1" w:themeShade="80"/>
              <w:sz w:val="24"/>
              <w:szCs w:val="24"/>
            </w:rPr>
            <w:alias w:val="Title"/>
            <w:tag w:val=""/>
            <w:id w:val="1735040861"/>
            <w:placeholder>
              <w:docPart w:val="EA87B5694AD64E4BA51E7EA91061DB62"/>
            </w:placeholder>
            <w:dataBinding w:prefixMappings="xmlns:ns0='http://purl.org/dc/elements/1.1/' xmlns:ns1='http://schemas.openxmlformats.org/package/2006/metadata/core-properties' " w:xpath="/ns1:coreProperties[1]/ns0:title[1]" w:storeItemID="{6C3C8BC8-F283-45AE-878A-BAB7291924A1}"/>
            <w:text/>
          </w:sdtPr>
          <w:sdtEndPr/>
          <w:sdtContent>
            <w:p w14:paraId="677F0969" w14:textId="2BF0153D" w:rsidR="00AF342E" w:rsidRDefault="00AF342E">
              <w:pPr>
                <w:pStyle w:val="NoSpacing"/>
                <w:pBdr>
                  <w:top w:val="single" w:sz="6" w:space="6" w:color="4472C4" w:themeColor="accent1"/>
                  <w:bottom w:val="single" w:sz="6" w:space="6" w:color="4472C4" w:themeColor="accent1"/>
                </w:pBdr>
                <w:spacing w:after="240"/>
                <w:jc w:val="center"/>
                <w:rPr>
                  <w:rFonts w:asciiTheme="majorHAnsi" w:eastAsiaTheme="majorEastAsia" w:hAnsiTheme="majorHAnsi" w:cstheme="majorBidi"/>
                  <w:caps/>
                  <w:color w:val="4472C4" w:themeColor="accent1"/>
                  <w:sz w:val="80"/>
                  <w:szCs w:val="80"/>
                </w:rPr>
              </w:pPr>
              <w:r w:rsidRPr="00AF342E">
                <w:rPr>
                  <w:rFonts w:ascii="Book Antiqua" w:eastAsia="Calibri" w:hAnsi="Book Antiqua" w:cs="Times New Roman"/>
                  <w:b/>
                  <w:bCs/>
                  <w:color w:val="1F3864" w:themeColor="accent1" w:themeShade="80"/>
                  <w:sz w:val="24"/>
                  <w:szCs w:val="24"/>
                </w:rPr>
                <w:t>REPORT OF THE EDO STATE POLICY REVIEW CONSULTANCY FOR THE UNDP’S NIGERIA ANTI-CORRUPTION INNOVATION PROJECT WITH ACCOUNTABILITY LAB NIGERIA AND OPEN CONTRACTING PARTNERSHIP</w:t>
              </w:r>
            </w:p>
          </w:sdtContent>
        </w:sdt>
        <w:p w14:paraId="5E49710C" w14:textId="135FF37B" w:rsidR="00C3315E" w:rsidRDefault="00C3315E">
          <w:pPr>
            <w:pStyle w:val="NoSpacing"/>
            <w:spacing w:before="480"/>
            <w:jc w:val="center"/>
            <w:rPr>
              <w:color w:val="4472C4" w:themeColor="accent1"/>
            </w:rPr>
          </w:pPr>
          <w:r>
            <w:rPr>
              <w:noProof/>
              <w:color w:val="4472C4" w:themeColor="accent1"/>
            </w:rPr>
            <w:drawing>
              <wp:inline distT="0" distB="0" distL="0" distR="0" wp14:anchorId="630C7333" wp14:editId="6FAC4A3C">
                <wp:extent cx="758952" cy="478932"/>
                <wp:effectExtent l="0" t="0" r="317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14:paraId="78858B27" w14:textId="121AC722" w:rsidR="00AF342E" w:rsidRDefault="00C3315E">
          <w:pPr>
            <w:pStyle w:val="NoSpacing"/>
            <w:spacing w:before="480"/>
            <w:jc w:val="center"/>
            <w:rPr>
              <w:color w:val="4472C4" w:themeColor="accent1"/>
            </w:rPr>
          </w:pPr>
          <w:r w:rsidRPr="00C3315E">
            <w:rPr>
              <w:noProof/>
            </w:rPr>
            <w:drawing>
              <wp:inline distT="0" distB="0" distL="0" distR="0" wp14:anchorId="28561A93" wp14:editId="21B64E3A">
                <wp:extent cx="5943600" cy="209992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2099921"/>
                        </a:xfrm>
                        <a:prstGeom prst="rect">
                          <a:avLst/>
                        </a:prstGeom>
                        <a:noFill/>
                        <a:ln>
                          <a:noFill/>
                        </a:ln>
                      </pic:spPr>
                    </pic:pic>
                  </a:graphicData>
                </a:graphic>
              </wp:inline>
            </w:drawing>
          </w:r>
        </w:p>
        <w:p w14:paraId="2DAEA503" w14:textId="5D7FAF49" w:rsidR="00AF342E" w:rsidRDefault="00C3315E">
          <w:r>
            <w:rPr>
              <w:noProof/>
              <w:color w:val="4472C4" w:themeColor="accent1"/>
            </w:rPr>
            <mc:AlternateContent>
              <mc:Choice Requires="wps">
                <w:drawing>
                  <wp:anchor distT="0" distB="0" distL="114300" distR="114300" simplePos="0" relativeHeight="251659264" behindDoc="0" locked="0" layoutInCell="1" allowOverlap="1" wp14:anchorId="7816C93E" wp14:editId="1C24D914">
                    <wp:simplePos x="0" y="0"/>
                    <wp:positionH relativeFrom="margin">
                      <wp:align>right</wp:align>
                    </wp:positionH>
                    <wp:positionV relativeFrom="margin">
                      <wp:align>bottom</wp:align>
                    </wp:positionV>
                    <wp:extent cx="6553200" cy="570015"/>
                    <wp:effectExtent l="0" t="0" r="0" b="1905"/>
                    <wp:wrapNone/>
                    <wp:docPr id="142" name="Text Box 142"/>
                    <wp:cNvGraphicFramePr/>
                    <a:graphic xmlns:a="http://schemas.openxmlformats.org/drawingml/2006/main">
                      <a:graphicData uri="http://schemas.microsoft.com/office/word/2010/wordprocessingShape">
                        <wps:wsp>
                          <wps:cNvSpPr txBox="1"/>
                          <wps:spPr>
                            <a:xfrm>
                              <a:off x="0" y="0"/>
                              <a:ext cx="6553200" cy="5700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Book Antiqua" w:hAnsi="Book Antiqua"/>
                                    <w:b/>
                                    <w:color w:val="1F3864" w:themeColor="accent1" w:themeShade="80"/>
                                    <w:sz w:val="24"/>
                                    <w:szCs w:val="24"/>
                                  </w:rPr>
                                  <w:alias w:val="Date"/>
                                  <w:tag w:val=""/>
                                  <w:id w:val="197127006"/>
                                  <w:dataBinding w:prefixMappings="xmlns:ns0='http://schemas.microsoft.com/office/2006/coverPageProps' " w:xpath="/ns0:CoverPageProperties[1]/ns0:PublishDate[1]" w:storeItemID="{55AF091B-3C7A-41E3-B477-F2FDAA23CFDA}"/>
                                  <w:date w:fullDate="2022-09-01T00:00:00Z">
                                    <w:dateFormat w:val="MMMM d, yyyy"/>
                                    <w:lid w:val="en-US"/>
                                    <w:storeMappedDataAs w:val="dateTime"/>
                                    <w:calendar w:val="gregorian"/>
                                  </w:date>
                                </w:sdtPr>
                                <w:sdtEndPr/>
                                <w:sdtContent>
                                  <w:p w14:paraId="1FFD26DB" w14:textId="0B0894C7" w:rsidR="00AF342E" w:rsidRDefault="00C76F0F">
                                    <w:pPr>
                                      <w:pStyle w:val="NoSpacing"/>
                                      <w:spacing w:after="40"/>
                                      <w:jc w:val="center"/>
                                      <w:rPr>
                                        <w:caps/>
                                        <w:color w:val="4472C4" w:themeColor="accent1"/>
                                        <w:sz w:val="28"/>
                                        <w:szCs w:val="28"/>
                                      </w:rPr>
                                    </w:pPr>
                                    <w:r>
                                      <w:rPr>
                                        <w:rFonts w:ascii="Book Antiqua" w:hAnsi="Book Antiqua"/>
                                        <w:b/>
                                        <w:color w:val="1F3864" w:themeColor="accent1" w:themeShade="80"/>
                                        <w:sz w:val="24"/>
                                        <w:szCs w:val="24"/>
                                      </w:rPr>
                                      <w:t>September 1, 2022</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816C93E" id="_x0000_t202" coordsize="21600,21600" o:spt="202" path="m,l,21600r21600,l21600,xe">
                    <v:stroke joinstyle="miter"/>
                    <v:path gradientshapeok="t" o:connecttype="rect"/>
                  </v:shapetype>
                  <v:shape id="Text Box 142" o:spid="_x0000_s1026" type="#_x0000_t202" style="position:absolute;margin-left:464.8pt;margin-top:0;width:516pt;height:44.9pt;z-index:251659264;visibility:visible;mso-wrap-style:square;mso-width-percent:1000;mso-height-percent:0;mso-wrap-distance-left:9pt;mso-wrap-distance-top:0;mso-wrap-distance-right:9pt;mso-wrap-distance-bottom:0;mso-position-horizontal:right;mso-position-horizontal-relative:margin;mso-position-vertical:bottom;mso-position-vertical-relative:margin;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" filled="f" stroked="f" strokeweight=".5pt">
                    <v:textbox inset="0,0,0,0">
                      <w:txbxContent>
                        <w:sdt>
                          <w:sdtPr>
                            <w:rPr>
                              <w:rFonts w:ascii="Book Antiqua" w:hAnsi="Book Antiqua"/>
                              <w:b/>
                              <w:color w:val="1F3864" w:themeColor="accent1" w:themeShade="80"/>
                              <w:sz w:val="24"/>
                              <w:szCs w:val="24"/>
                            </w:rPr>
                            <w:alias w:val="Date"/>
                            <w:tag w:val=""/>
                            <w:id w:val="197127006"/>
                            <w:dataBinding w:prefixMappings="xmlns:ns0='http://schemas.microsoft.com/office/2006/coverPageProps' " w:xpath="/ns0:CoverPageProperties[1]/ns0:PublishDate[1]" w:storeItemID="{55AF091B-3C7A-41E3-B477-F2FDAA23CFDA}"/>
                            <w:date w:fullDate="2022-09-01T00:00:00Z">
                              <w:dateFormat w:val="MMMM d, yyyy"/>
                              <w:lid w:val="en-US"/>
                              <w:storeMappedDataAs w:val="dateTime"/>
                              <w:calendar w:val="gregorian"/>
                            </w:date>
                          </w:sdtPr>
                          <w:sdtContent>
                            <w:p w14:paraId="1FFD26DB" w14:textId="0B0894C7" w:rsidR="00AF342E" w:rsidRDefault="00C76F0F">
                              <w:pPr>
                                <w:pStyle w:val="NoSpacing"/>
                                <w:spacing w:after="40"/>
                                <w:jc w:val="center"/>
                                <w:rPr>
                                  <w:caps/>
                                  <w:color w:val="4472C4" w:themeColor="accent1"/>
                                  <w:sz w:val="28"/>
                                  <w:szCs w:val="28"/>
                                </w:rPr>
                              </w:pPr>
                              <w:r>
                                <w:rPr>
                                  <w:rFonts w:ascii="Book Antiqua" w:hAnsi="Book Antiqua"/>
                                  <w:b/>
                                  <w:color w:val="1F3864" w:themeColor="accent1" w:themeShade="80"/>
                                  <w:sz w:val="24"/>
                                  <w:szCs w:val="24"/>
                                </w:rPr>
                                <w:t>September 1, 2022</w:t>
                              </w:r>
                            </w:p>
                          </w:sdtContent>
                        </w:sdt>
                      </w:txbxContent>
                    </v:textbox>
                    <w10:wrap anchorx="margin" anchory="margin"/>
                  </v:shape>
                </w:pict>
              </mc:Fallback>
            </mc:AlternateContent>
          </w:r>
          <w:r w:rsidR="00AF342E">
            <w:br w:type="page"/>
          </w:r>
        </w:p>
      </w:sdtContent>
    </w:sdt>
    <w:p w14:paraId="188485DA" w14:textId="77777777" w:rsidR="00CC4A69" w:rsidRPr="00842A16" w:rsidRDefault="00CC4A69" w:rsidP="00C3315E">
      <w:pPr>
        <w:jc w:val="center"/>
        <w:rPr>
          <w:rFonts w:ascii="Book Antiqua" w:hAnsi="Book Antiqua"/>
          <w:b/>
          <w:color w:val="1F3864" w:themeColor="accent1" w:themeShade="80"/>
          <w:sz w:val="24"/>
          <w:szCs w:val="24"/>
        </w:rPr>
      </w:pPr>
      <w:r w:rsidRPr="00842A16">
        <w:rPr>
          <w:rFonts w:ascii="Book Antiqua" w:hAnsi="Book Antiqua"/>
          <w:b/>
          <w:color w:val="1F3864" w:themeColor="accent1" w:themeShade="80"/>
          <w:sz w:val="24"/>
          <w:szCs w:val="24"/>
        </w:rPr>
        <w:lastRenderedPageBreak/>
        <w:t>Executive Summary</w:t>
      </w:r>
    </w:p>
    <w:p w14:paraId="2F0FC540" w14:textId="4E116A17" w:rsidR="00CC4A69" w:rsidRPr="00842A16" w:rsidRDefault="00CC4A69" w:rsidP="00CC4A69">
      <w:pPr>
        <w:jc w:val="both"/>
        <w:rPr>
          <w:rFonts w:ascii="Book Antiqua" w:eastAsia="Calibri" w:hAnsi="Book Antiqua" w:cs="Times New Roman"/>
          <w:bCs/>
          <w:color w:val="1F3864" w:themeColor="accent1" w:themeShade="80"/>
          <w:sz w:val="24"/>
          <w:szCs w:val="24"/>
          <w:lang w:val="en-GB"/>
        </w:rPr>
      </w:pPr>
      <w:r w:rsidRPr="00842A16">
        <w:rPr>
          <w:rFonts w:ascii="Book Antiqua" w:hAnsi="Book Antiqua"/>
          <w:color w:val="1F3864" w:themeColor="accent1" w:themeShade="80"/>
          <w:sz w:val="24"/>
          <w:szCs w:val="24"/>
        </w:rPr>
        <w:t xml:space="preserve">Global best practices in public procurement have in recent times emphasized the importance </w:t>
      </w:r>
      <w:r w:rsidR="00C3315E" w:rsidRPr="00842A16">
        <w:rPr>
          <w:rFonts w:ascii="Book Antiqua" w:hAnsi="Book Antiqua"/>
          <w:color w:val="1F3864" w:themeColor="accent1" w:themeShade="80"/>
          <w:sz w:val="24"/>
          <w:szCs w:val="24"/>
        </w:rPr>
        <w:t>of accountability</w:t>
      </w:r>
      <w:r w:rsidRPr="00842A16">
        <w:rPr>
          <w:rFonts w:ascii="Book Antiqua" w:hAnsi="Book Antiqua"/>
          <w:color w:val="1F3864" w:themeColor="accent1" w:themeShade="80"/>
          <w:sz w:val="24"/>
          <w:szCs w:val="24"/>
        </w:rPr>
        <w:t xml:space="preserve">, transparency, efficiency, economy and non-discrimination through the deployment of technology for open contracting to ensure that maximum value for money underpins the procurement and disposal </w:t>
      </w:r>
      <w:r w:rsidR="00C76F0F">
        <w:rPr>
          <w:rFonts w:ascii="Book Antiqua" w:hAnsi="Book Antiqua"/>
          <w:color w:val="1F3864" w:themeColor="accent1" w:themeShade="80"/>
          <w:sz w:val="24"/>
          <w:szCs w:val="24"/>
        </w:rPr>
        <w:t>o</w:t>
      </w:r>
      <w:r w:rsidRPr="00842A16">
        <w:rPr>
          <w:rFonts w:ascii="Book Antiqua" w:hAnsi="Book Antiqua"/>
          <w:color w:val="1F3864" w:themeColor="accent1" w:themeShade="80"/>
          <w:sz w:val="24"/>
          <w:szCs w:val="24"/>
        </w:rPr>
        <w:t xml:space="preserve">f public property. Nigeria, as a country, embarked on procurement reforms in 2007 </w:t>
      </w:r>
      <w:r w:rsidR="008D5828">
        <w:rPr>
          <w:rFonts w:ascii="Book Antiqua" w:hAnsi="Book Antiqua"/>
          <w:color w:val="1F3864" w:themeColor="accent1" w:themeShade="80"/>
          <w:sz w:val="24"/>
          <w:szCs w:val="24"/>
        </w:rPr>
        <w:t xml:space="preserve">- </w:t>
      </w:r>
      <w:r w:rsidRPr="00842A16">
        <w:rPr>
          <w:rFonts w:ascii="Book Antiqua" w:hAnsi="Book Antiqua"/>
          <w:color w:val="1F3864" w:themeColor="accent1" w:themeShade="80"/>
          <w:sz w:val="24"/>
          <w:szCs w:val="24"/>
        </w:rPr>
        <w:t xml:space="preserve">as part of its economic reform agenda which started in </w:t>
      </w:r>
      <w:r w:rsidRPr="008D5828">
        <w:rPr>
          <w:rFonts w:ascii="Book Antiqua" w:hAnsi="Book Antiqua"/>
          <w:color w:val="1F3864" w:themeColor="accent1" w:themeShade="80"/>
          <w:sz w:val="24"/>
          <w:szCs w:val="24"/>
        </w:rPr>
        <w:t>2001</w:t>
      </w:r>
      <w:r w:rsidR="008D5828">
        <w:rPr>
          <w:rFonts w:ascii="Book Antiqua" w:hAnsi="Book Antiqua"/>
          <w:color w:val="1F3864" w:themeColor="accent1" w:themeShade="80"/>
          <w:sz w:val="24"/>
          <w:szCs w:val="24"/>
        </w:rPr>
        <w:t xml:space="preserve"> -</w:t>
      </w:r>
      <w:r w:rsidRPr="00842A16">
        <w:rPr>
          <w:rFonts w:ascii="Book Antiqua" w:hAnsi="Book Antiqua"/>
          <w:color w:val="1F3864" w:themeColor="accent1" w:themeShade="80"/>
          <w:sz w:val="24"/>
          <w:szCs w:val="24"/>
        </w:rPr>
        <w:t xml:space="preserve"> with the establishment of the Bureau for Public Procurement and the National Council for Public Procurement, with the latter still to be </w:t>
      </w:r>
      <w:r w:rsidR="008D5828">
        <w:rPr>
          <w:rFonts w:ascii="Book Antiqua" w:hAnsi="Book Antiqua"/>
          <w:color w:val="1F3864" w:themeColor="accent1" w:themeShade="80"/>
          <w:sz w:val="24"/>
          <w:szCs w:val="24"/>
        </w:rPr>
        <w:t>created</w:t>
      </w:r>
      <w:r w:rsidRPr="00842A16">
        <w:rPr>
          <w:rFonts w:ascii="Book Antiqua" w:hAnsi="Book Antiqua"/>
          <w:color w:val="1F3864" w:themeColor="accent1" w:themeShade="80"/>
          <w:sz w:val="24"/>
          <w:szCs w:val="24"/>
        </w:rPr>
        <w:t xml:space="preserve">. Despite this, and other subsequent efforts at open contracting initiatives, there remains </w:t>
      </w:r>
      <w:r w:rsidR="00C76F0F">
        <w:rPr>
          <w:rFonts w:ascii="Book Antiqua" w:hAnsi="Book Antiqua"/>
          <w:color w:val="1F3864" w:themeColor="accent1" w:themeShade="80"/>
          <w:sz w:val="24"/>
          <w:szCs w:val="24"/>
        </w:rPr>
        <w:t>the</w:t>
      </w:r>
      <w:r w:rsidRPr="00842A16">
        <w:rPr>
          <w:rFonts w:ascii="Book Antiqua" w:hAnsi="Book Antiqua"/>
          <w:color w:val="1F3864" w:themeColor="accent1" w:themeShade="80"/>
          <w:sz w:val="24"/>
          <w:szCs w:val="24"/>
        </w:rPr>
        <w:t xml:space="preserve"> challenge of corrupt practices in procurement sectors within the Nigerian public sector. The efforts at ensuring good practices in public procurement has, however, continued with the </w:t>
      </w:r>
      <w:r w:rsidRPr="00842A16">
        <w:rPr>
          <w:rFonts w:ascii="Book Antiqua" w:eastAsia="Calibri" w:hAnsi="Book Antiqua" w:cs="Times New Roman"/>
          <w:color w:val="1F3864" w:themeColor="accent1" w:themeShade="80"/>
          <w:sz w:val="24"/>
          <w:szCs w:val="24"/>
        </w:rPr>
        <w:t xml:space="preserve">State Fiscal Transparency, Accountability, and Sustainability (SFTAS) designed to develop and implement policies, as well as build the capacities of public institutions regarding fairness, transparency and accountability in procurement processes. This report thus details the fallouts of such efforts in Edo State, Nigeria by reviewing extant policies as well as recommend areas for improvement. It thus describes the structure of the organization, which is inclusive of its procurement cadre, as well as staff competences and operational dynamics. It also explores the policy framework of the agency which primarily comprises </w:t>
      </w:r>
      <w:r w:rsidRPr="00842A16">
        <w:rPr>
          <w:rFonts w:ascii="Book Antiqua" w:eastAsia="Calibri" w:hAnsi="Book Antiqua" w:cs="Times New Roman"/>
          <w:bCs/>
          <w:color w:val="1F3864" w:themeColor="accent1" w:themeShade="80"/>
          <w:sz w:val="24"/>
          <w:szCs w:val="24"/>
        </w:rPr>
        <w:t xml:space="preserve">the Public Procurement (Repeal and Re-enactment) Law 2020 which became effective on August 26, 2020, and other subsidiary </w:t>
      </w:r>
      <w:r w:rsidR="00C76F0F">
        <w:rPr>
          <w:rFonts w:ascii="Book Antiqua" w:eastAsia="Calibri" w:hAnsi="Book Antiqua" w:cs="Times New Roman"/>
          <w:bCs/>
          <w:color w:val="1F3864" w:themeColor="accent1" w:themeShade="80"/>
          <w:sz w:val="24"/>
          <w:szCs w:val="24"/>
        </w:rPr>
        <w:t xml:space="preserve">legislations </w:t>
      </w:r>
      <w:r w:rsidRPr="00842A16">
        <w:rPr>
          <w:rFonts w:ascii="Book Antiqua" w:eastAsia="Calibri" w:hAnsi="Book Antiqua" w:cs="Times New Roman"/>
          <w:bCs/>
          <w:color w:val="1F3864" w:themeColor="accent1" w:themeShade="80"/>
          <w:sz w:val="24"/>
          <w:szCs w:val="24"/>
        </w:rPr>
        <w:t xml:space="preserve">namely: the Procurement Procedures Manual, the </w:t>
      </w:r>
      <w:r w:rsidRPr="00842A16">
        <w:rPr>
          <w:rFonts w:ascii="Book Antiqua" w:eastAsia="Calibri" w:hAnsi="Book Antiqua" w:cs="Times New Roman"/>
          <w:bCs/>
          <w:color w:val="1F3864" w:themeColor="accent1" w:themeShade="80"/>
          <w:sz w:val="24"/>
          <w:szCs w:val="24"/>
          <w:lang w:val="en-GB"/>
        </w:rPr>
        <w:t>Open Contracting Data Standard (OCDS) Publication Policy, the monetary thresholds, the Standard Bidding Document</w:t>
      </w:r>
      <w:r w:rsidR="00B64F39">
        <w:rPr>
          <w:rFonts w:ascii="Book Antiqua" w:eastAsia="Calibri" w:hAnsi="Book Antiqua" w:cs="Times New Roman"/>
          <w:bCs/>
          <w:color w:val="1F3864" w:themeColor="accent1" w:themeShade="80"/>
          <w:sz w:val="24"/>
          <w:szCs w:val="24"/>
          <w:lang w:val="en-GB"/>
        </w:rPr>
        <w:t>s</w:t>
      </w:r>
      <w:r w:rsidRPr="00842A16">
        <w:rPr>
          <w:rFonts w:ascii="Book Antiqua" w:eastAsia="Calibri" w:hAnsi="Book Antiqua" w:cs="Times New Roman"/>
          <w:bCs/>
          <w:color w:val="1F3864" w:themeColor="accent1" w:themeShade="80"/>
          <w:sz w:val="24"/>
          <w:szCs w:val="24"/>
          <w:lang w:val="en-GB"/>
        </w:rPr>
        <w:t xml:space="preserve"> for the Procurement of Civil Works, Standard Bidding Document</w:t>
      </w:r>
      <w:r w:rsidR="00B64F39">
        <w:rPr>
          <w:rFonts w:ascii="Book Antiqua" w:eastAsia="Calibri" w:hAnsi="Book Antiqua" w:cs="Times New Roman"/>
          <w:bCs/>
          <w:color w:val="1F3864" w:themeColor="accent1" w:themeShade="80"/>
          <w:sz w:val="24"/>
          <w:szCs w:val="24"/>
          <w:lang w:val="en-GB"/>
        </w:rPr>
        <w:t>s</w:t>
      </w:r>
      <w:r w:rsidRPr="00842A16">
        <w:rPr>
          <w:rFonts w:ascii="Book Antiqua" w:eastAsia="Calibri" w:hAnsi="Book Antiqua" w:cs="Times New Roman"/>
          <w:bCs/>
          <w:color w:val="1F3864" w:themeColor="accent1" w:themeShade="80"/>
          <w:sz w:val="24"/>
          <w:szCs w:val="24"/>
          <w:lang w:val="en-GB"/>
        </w:rPr>
        <w:t xml:space="preserve"> for the Procurement of Goods, and the Standard Request for Proposals for the </w:t>
      </w:r>
      <w:r w:rsidR="00B64F39">
        <w:rPr>
          <w:rFonts w:ascii="Book Antiqua" w:eastAsia="Calibri" w:hAnsi="Book Antiqua" w:cs="Times New Roman"/>
          <w:bCs/>
          <w:color w:val="1F3864" w:themeColor="accent1" w:themeShade="80"/>
          <w:sz w:val="24"/>
          <w:szCs w:val="24"/>
          <w:lang w:val="en-GB"/>
        </w:rPr>
        <w:t>S</w:t>
      </w:r>
      <w:r w:rsidRPr="00842A16">
        <w:rPr>
          <w:rFonts w:ascii="Book Antiqua" w:eastAsia="Calibri" w:hAnsi="Book Antiqua" w:cs="Times New Roman"/>
          <w:bCs/>
          <w:color w:val="1F3864" w:themeColor="accent1" w:themeShade="80"/>
          <w:sz w:val="24"/>
          <w:szCs w:val="24"/>
          <w:lang w:val="en-GB"/>
        </w:rPr>
        <w:t xml:space="preserve">election of </w:t>
      </w:r>
      <w:r w:rsidR="00B64F39">
        <w:rPr>
          <w:rFonts w:ascii="Book Antiqua" w:eastAsia="Calibri" w:hAnsi="Book Antiqua" w:cs="Times New Roman"/>
          <w:bCs/>
          <w:color w:val="1F3864" w:themeColor="accent1" w:themeShade="80"/>
          <w:sz w:val="24"/>
          <w:szCs w:val="24"/>
          <w:lang w:val="en-GB"/>
        </w:rPr>
        <w:t>C</w:t>
      </w:r>
      <w:r w:rsidRPr="00842A16">
        <w:rPr>
          <w:rFonts w:ascii="Book Antiqua" w:eastAsia="Calibri" w:hAnsi="Book Antiqua" w:cs="Times New Roman"/>
          <w:bCs/>
          <w:color w:val="1F3864" w:themeColor="accent1" w:themeShade="80"/>
          <w:sz w:val="24"/>
          <w:szCs w:val="24"/>
          <w:lang w:val="en-GB"/>
        </w:rPr>
        <w:t>onsultants. The study asserts the compliance of the provisions of the law and subsidiary legislations to good practices of default open competitive bidding processes to ensure transparency, accountability, economy, efficiency and inclusiveness, including through the use of technology for open contracting. It subsequently recommends certain reviews of the law for consistency in terms of appointments, validity of meetings, funding sources and gender responsiveness. The need to update the provisions of the law as contained in the subsidiary legislations was also recommended alongside the need to provide continuous training support for the staff of the agency.</w:t>
      </w:r>
    </w:p>
    <w:p w14:paraId="5EBE4D26" w14:textId="77777777" w:rsidR="00082AC9" w:rsidRDefault="00082AC9" w:rsidP="00082AC9">
      <w:pPr>
        <w:rPr>
          <w:rFonts w:ascii="Book Antiqua" w:hAnsi="Book Antiqua" w:cs="Times New Roman"/>
          <w:color w:val="1F3864" w:themeColor="accent1" w:themeShade="80"/>
          <w:sz w:val="24"/>
          <w:szCs w:val="24"/>
        </w:rPr>
      </w:pPr>
    </w:p>
    <w:p w14:paraId="195C490E" w14:textId="77777777" w:rsidR="00842A16" w:rsidRDefault="00842A16" w:rsidP="00082AC9">
      <w:pPr>
        <w:rPr>
          <w:rFonts w:ascii="Book Antiqua" w:hAnsi="Book Antiqua" w:cs="Times New Roman"/>
          <w:color w:val="1F3864" w:themeColor="accent1" w:themeShade="80"/>
          <w:sz w:val="24"/>
          <w:szCs w:val="24"/>
        </w:rPr>
      </w:pPr>
    </w:p>
    <w:p w14:paraId="046B5949" w14:textId="77777777" w:rsidR="00842A16" w:rsidRDefault="00842A16" w:rsidP="00082AC9">
      <w:pPr>
        <w:rPr>
          <w:rFonts w:ascii="Book Antiqua" w:hAnsi="Book Antiqua" w:cs="Times New Roman"/>
          <w:color w:val="1F3864" w:themeColor="accent1" w:themeShade="80"/>
          <w:sz w:val="24"/>
          <w:szCs w:val="24"/>
        </w:rPr>
      </w:pPr>
    </w:p>
    <w:p w14:paraId="254CE5AA" w14:textId="77777777" w:rsidR="00842A16" w:rsidRDefault="00842A16" w:rsidP="00082AC9">
      <w:pPr>
        <w:rPr>
          <w:rFonts w:ascii="Book Antiqua" w:hAnsi="Book Antiqua" w:cs="Times New Roman"/>
          <w:color w:val="1F3864" w:themeColor="accent1" w:themeShade="80"/>
          <w:sz w:val="24"/>
          <w:szCs w:val="24"/>
        </w:rPr>
      </w:pPr>
    </w:p>
    <w:p w14:paraId="121381AE" w14:textId="77777777" w:rsidR="00842A16" w:rsidRDefault="00842A16" w:rsidP="00082AC9">
      <w:pPr>
        <w:rPr>
          <w:rFonts w:ascii="Book Antiqua" w:hAnsi="Book Antiqua" w:cs="Times New Roman"/>
          <w:color w:val="1F3864" w:themeColor="accent1" w:themeShade="80"/>
          <w:sz w:val="24"/>
          <w:szCs w:val="24"/>
        </w:rPr>
      </w:pPr>
    </w:p>
    <w:p w14:paraId="7E7AC944" w14:textId="45A2A144" w:rsidR="00082AC9" w:rsidRPr="00842A16" w:rsidRDefault="00082AC9" w:rsidP="00B2295B">
      <w:pPr>
        <w:jc w:val="center"/>
        <w:rPr>
          <w:rFonts w:ascii="Book Antiqua" w:hAnsi="Book Antiqua" w:cs="Times New Roman"/>
          <w:b/>
          <w:bCs/>
          <w:color w:val="1F3864" w:themeColor="accent1" w:themeShade="80"/>
          <w:sz w:val="24"/>
          <w:szCs w:val="24"/>
        </w:rPr>
      </w:pPr>
      <w:r w:rsidRPr="00842A16">
        <w:rPr>
          <w:rFonts w:ascii="Book Antiqua" w:hAnsi="Book Antiqua" w:cs="Times New Roman"/>
          <w:b/>
          <w:bCs/>
          <w:color w:val="1F3864" w:themeColor="accent1" w:themeShade="80"/>
          <w:sz w:val="24"/>
          <w:szCs w:val="24"/>
        </w:rPr>
        <w:lastRenderedPageBreak/>
        <w:t>Table of Contents</w:t>
      </w:r>
    </w:p>
    <w:p w14:paraId="478836F4" w14:textId="77777777" w:rsidR="00082AC9" w:rsidRPr="00842A16" w:rsidRDefault="00082AC9" w:rsidP="00082AC9">
      <w:pPr>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Executive summary</w:t>
      </w:r>
    </w:p>
    <w:p w14:paraId="4FB11538" w14:textId="77777777" w:rsidR="00082AC9" w:rsidRPr="00842A16" w:rsidRDefault="00082AC9" w:rsidP="00082AC9">
      <w:pPr>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Table of Content</w:t>
      </w:r>
    </w:p>
    <w:p w14:paraId="5787D25E" w14:textId="77777777" w:rsidR="00082AC9" w:rsidRPr="00842A16" w:rsidRDefault="00082AC9" w:rsidP="00082AC9">
      <w:pPr>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Background</w:t>
      </w:r>
    </w:p>
    <w:p w14:paraId="109E55DD" w14:textId="77777777" w:rsidR="00082AC9" w:rsidRPr="00842A16" w:rsidRDefault="00082AC9" w:rsidP="00082AC9">
      <w:pPr>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Edo State Public Procurement Agency</w:t>
      </w:r>
    </w:p>
    <w:p w14:paraId="2550C07A" w14:textId="77777777" w:rsidR="00082AC9" w:rsidRPr="00842A16" w:rsidRDefault="00082AC9" w:rsidP="00082AC9">
      <w:pPr>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Edo State Procurement Cadre</w:t>
      </w:r>
    </w:p>
    <w:p w14:paraId="25F4BCD9" w14:textId="77777777" w:rsidR="00082AC9" w:rsidRPr="00842A16" w:rsidRDefault="00082AC9" w:rsidP="00082AC9">
      <w:pPr>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Review of Edo State Public Procurement Agency Policy Framework</w:t>
      </w:r>
    </w:p>
    <w:p w14:paraId="38FD90F9" w14:textId="77777777" w:rsidR="00082AC9" w:rsidRPr="00842A16" w:rsidRDefault="00082AC9" w:rsidP="00082AC9">
      <w:pPr>
        <w:rPr>
          <w:rFonts w:ascii="Book Antiqua" w:hAnsi="Book Antiqua" w:cs="Times New Roman"/>
          <w:i/>
          <w:iCs/>
          <w:color w:val="1F3864" w:themeColor="accent1" w:themeShade="80"/>
          <w:sz w:val="24"/>
          <w:szCs w:val="24"/>
        </w:rPr>
      </w:pPr>
      <w:r w:rsidRPr="00842A16">
        <w:rPr>
          <w:rFonts w:ascii="Book Antiqua" w:hAnsi="Book Antiqua" w:cs="Times New Roman"/>
          <w:i/>
          <w:iCs/>
          <w:color w:val="1F3864" w:themeColor="accent1" w:themeShade="80"/>
          <w:sz w:val="24"/>
          <w:szCs w:val="24"/>
        </w:rPr>
        <w:t>Preamble</w:t>
      </w:r>
    </w:p>
    <w:p w14:paraId="72AF6683" w14:textId="77777777" w:rsidR="00082AC9" w:rsidRPr="00842A16" w:rsidRDefault="00082AC9" w:rsidP="00082AC9">
      <w:pPr>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Public Procurement (Repeal and Re-enactment) Law 2020</w:t>
      </w:r>
    </w:p>
    <w:p w14:paraId="4DFCA96C" w14:textId="77777777" w:rsidR="00082AC9" w:rsidRPr="00842A16" w:rsidRDefault="00082AC9" w:rsidP="00082AC9">
      <w:pPr>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 xml:space="preserve">Procurement Procedures Manual </w:t>
      </w:r>
    </w:p>
    <w:p w14:paraId="70FC7B8F" w14:textId="77777777" w:rsidR="007D3648" w:rsidRPr="00842A16" w:rsidRDefault="00082AC9" w:rsidP="00082AC9">
      <w:pPr>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Standard Bidding Documents Procurement of Goods and Civil Works / Standard Request for Proposals</w:t>
      </w:r>
    </w:p>
    <w:p w14:paraId="211D094C" w14:textId="77777777" w:rsidR="00082AC9" w:rsidRPr="00842A16" w:rsidRDefault="00082AC9" w:rsidP="00082AC9">
      <w:pPr>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New Monetary Threshold</w:t>
      </w:r>
    </w:p>
    <w:p w14:paraId="71FA7542" w14:textId="77777777" w:rsidR="00082AC9" w:rsidRPr="00842A16" w:rsidRDefault="00082AC9" w:rsidP="00082AC9">
      <w:pPr>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Open Contracting Data Standard (OCDS) Publication Policy</w:t>
      </w:r>
    </w:p>
    <w:p w14:paraId="30715E36" w14:textId="77777777" w:rsidR="00082AC9" w:rsidRPr="00842A16" w:rsidRDefault="00082AC9" w:rsidP="00082AC9">
      <w:pPr>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Conclusion</w:t>
      </w:r>
    </w:p>
    <w:p w14:paraId="08381390" w14:textId="77777777" w:rsidR="00082AC9" w:rsidRPr="00842A16" w:rsidRDefault="00082AC9" w:rsidP="00082AC9">
      <w:pPr>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Recommendations / Next Steps</w:t>
      </w:r>
    </w:p>
    <w:p w14:paraId="6A533BE6" w14:textId="77777777" w:rsidR="00082AC9" w:rsidRPr="00842A16" w:rsidRDefault="00082AC9" w:rsidP="00082AC9">
      <w:pPr>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References</w:t>
      </w:r>
    </w:p>
    <w:p w14:paraId="57A278E8" w14:textId="0F054C27" w:rsidR="008F2A4F" w:rsidRPr="00842A16" w:rsidRDefault="008F2A4F">
      <w:pPr>
        <w:rPr>
          <w:rFonts w:ascii="Book Antiqua" w:hAnsi="Book Antiqua" w:cs="Times New Roman"/>
          <w:b/>
          <w:bCs/>
          <w:color w:val="1F3864" w:themeColor="accent1" w:themeShade="80"/>
          <w:sz w:val="24"/>
          <w:szCs w:val="24"/>
        </w:rPr>
      </w:pPr>
    </w:p>
    <w:p w14:paraId="5CF22CE5" w14:textId="77777777" w:rsidR="001727A5" w:rsidRPr="00842A16" w:rsidRDefault="001727A5">
      <w:pPr>
        <w:rPr>
          <w:rFonts w:ascii="Book Antiqua" w:hAnsi="Book Antiqua" w:cs="Times New Roman"/>
          <w:b/>
          <w:bCs/>
          <w:color w:val="1F3864" w:themeColor="accent1" w:themeShade="80"/>
          <w:sz w:val="24"/>
          <w:szCs w:val="24"/>
        </w:rPr>
      </w:pPr>
    </w:p>
    <w:p w14:paraId="51B1223C" w14:textId="77777777" w:rsidR="001727A5" w:rsidRPr="00842A16" w:rsidRDefault="001727A5">
      <w:pPr>
        <w:rPr>
          <w:rFonts w:ascii="Book Antiqua" w:hAnsi="Book Antiqua" w:cs="Times New Roman"/>
          <w:b/>
          <w:bCs/>
          <w:color w:val="1F3864" w:themeColor="accent1" w:themeShade="80"/>
          <w:sz w:val="24"/>
          <w:szCs w:val="24"/>
        </w:rPr>
      </w:pPr>
    </w:p>
    <w:p w14:paraId="137B37DC" w14:textId="77777777" w:rsidR="001727A5" w:rsidRPr="00842A16" w:rsidRDefault="001727A5">
      <w:pPr>
        <w:rPr>
          <w:rFonts w:ascii="Book Antiqua" w:hAnsi="Book Antiqua" w:cs="Times New Roman"/>
          <w:b/>
          <w:bCs/>
          <w:color w:val="1F3864" w:themeColor="accent1" w:themeShade="80"/>
          <w:sz w:val="24"/>
          <w:szCs w:val="24"/>
        </w:rPr>
      </w:pPr>
    </w:p>
    <w:p w14:paraId="791AA126" w14:textId="77777777" w:rsidR="001727A5" w:rsidRPr="00842A16" w:rsidRDefault="001727A5">
      <w:pPr>
        <w:rPr>
          <w:rFonts w:ascii="Book Antiqua" w:hAnsi="Book Antiqua" w:cs="Times New Roman"/>
          <w:b/>
          <w:bCs/>
          <w:color w:val="1F3864" w:themeColor="accent1" w:themeShade="80"/>
          <w:sz w:val="24"/>
          <w:szCs w:val="24"/>
        </w:rPr>
      </w:pPr>
    </w:p>
    <w:p w14:paraId="0DA531C8" w14:textId="32121516" w:rsidR="001727A5" w:rsidRDefault="001727A5">
      <w:pPr>
        <w:rPr>
          <w:rFonts w:ascii="Book Antiqua" w:hAnsi="Book Antiqua" w:cs="Times New Roman"/>
          <w:b/>
          <w:bCs/>
          <w:color w:val="1F3864" w:themeColor="accent1" w:themeShade="80"/>
          <w:sz w:val="24"/>
          <w:szCs w:val="24"/>
        </w:rPr>
      </w:pPr>
    </w:p>
    <w:p w14:paraId="7ABFBFA3" w14:textId="77777777" w:rsidR="00B2295B" w:rsidRPr="00842A16" w:rsidRDefault="00B2295B">
      <w:pPr>
        <w:rPr>
          <w:rFonts w:ascii="Book Antiqua" w:hAnsi="Book Antiqua" w:cs="Times New Roman"/>
          <w:b/>
          <w:bCs/>
          <w:color w:val="1F3864" w:themeColor="accent1" w:themeShade="80"/>
          <w:sz w:val="24"/>
          <w:szCs w:val="24"/>
        </w:rPr>
      </w:pPr>
    </w:p>
    <w:p w14:paraId="15738C9E" w14:textId="77777777" w:rsidR="001727A5" w:rsidRDefault="001727A5">
      <w:pPr>
        <w:rPr>
          <w:rFonts w:ascii="Book Antiqua" w:hAnsi="Book Antiqua" w:cs="Times New Roman"/>
          <w:b/>
          <w:bCs/>
          <w:color w:val="1F3864" w:themeColor="accent1" w:themeShade="80"/>
          <w:sz w:val="24"/>
          <w:szCs w:val="24"/>
        </w:rPr>
      </w:pPr>
    </w:p>
    <w:p w14:paraId="0E797C45" w14:textId="77777777" w:rsidR="00842A16" w:rsidRDefault="00842A16">
      <w:pPr>
        <w:rPr>
          <w:rFonts w:ascii="Book Antiqua" w:hAnsi="Book Antiqua" w:cs="Times New Roman"/>
          <w:b/>
          <w:bCs/>
          <w:color w:val="1F3864" w:themeColor="accent1" w:themeShade="80"/>
          <w:sz w:val="24"/>
          <w:szCs w:val="24"/>
        </w:rPr>
      </w:pPr>
    </w:p>
    <w:p w14:paraId="65A122AE" w14:textId="77777777" w:rsidR="00842A16" w:rsidRPr="00842A16" w:rsidRDefault="00842A16">
      <w:pPr>
        <w:rPr>
          <w:rFonts w:ascii="Book Antiqua" w:hAnsi="Book Antiqua" w:cs="Times New Roman"/>
          <w:b/>
          <w:bCs/>
          <w:color w:val="1F3864" w:themeColor="accent1" w:themeShade="80"/>
          <w:sz w:val="24"/>
          <w:szCs w:val="24"/>
        </w:rPr>
      </w:pPr>
    </w:p>
    <w:p w14:paraId="3E34DD2D" w14:textId="2927B778" w:rsidR="008F2A4F" w:rsidRPr="00842A16" w:rsidRDefault="008F2A4F" w:rsidP="00B2295B">
      <w:pPr>
        <w:jc w:val="center"/>
        <w:rPr>
          <w:rFonts w:ascii="Book Antiqua" w:hAnsi="Book Antiqua" w:cs="Times New Roman"/>
          <w:b/>
          <w:bCs/>
          <w:color w:val="1F3864" w:themeColor="accent1" w:themeShade="80"/>
          <w:sz w:val="24"/>
          <w:szCs w:val="24"/>
        </w:rPr>
      </w:pPr>
      <w:r w:rsidRPr="00842A16">
        <w:rPr>
          <w:rFonts w:ascii="Book Antiqua" w:hAnsi="Book Antiqua" w:cs="Times New Roman"/>
          <w:b/>
          <w:bCs/>
          <w:color w:val="1F3864" w:themeColor="accent1" w:themeShade="80"/>
          <w:sz w:val="24"/>
          <w:szCs w:val="24"/>
        </w:rPr>
        <w:lastRenderedPageBreak/>
        <w:t>Background</w:t>
      </w:r>
    </w:p>
    <w:p w14:paraId="33C5619A" w14:textId="471EC294" w:rsidR="008F2A4F" w:rsidRPr="00842A16" w:rsidRDefault="003A254A" w:rsidP="002F5F75">
      <w:pPr>
        <w:jc w:val="both"/>
        <w:rPr>
          <w:rFonts w:ascii="Book Antiqua" w:eastAsia="Calibri" w:hAnsi="Book Antiqua" w:cs="Times New Roman"/>
          <w:color w:val="1F3864" w:themeColor="accent1" w:themeShade="80"/>
          <w:sz w:val="24"/>
          <w:szCs w:val="24"/>
        </w:rPr>
      </w:pPr>
      <w:r w:rsidRPr="00842A16">
        <w:rPr>
          <w:rFonts w:ascii="Book Antiqua" w:eastAsia="Calibri" w:hAnsi="Book Antiqua" w:cs="Times New Roman"/>
          <w:color w:val="1F3864" w:themeColor="accent1" w:themeShade="80"/>
          <w:sz w:val="24"/>
          <w:szCs w:val="24"/>
        </w:rPr>
        <w:t xml:space="preserve">Public procurement is very critical in terms of sustainable approaches to development with the </w:t>
      </w:r>
      <w:hyperlink r:id="rId11" w:anchor="1" w:history="1">
        <w:r w:rsidRPr="00842A16">
          <w:rPr>
            <w:rFonts w:ascii="Book Antiqua" w:eastAsia="Calibri" w:hAnsi="Book Antiqua" w:cs="Times New Roman"/>
            <w:color w:val="1F3864" w:themeColor="accent1" w:themeShade="80"/>
            <w:sz w:val="24"/>
            <w:szCs w:val="24"/>
            <w:u w:val="single"/>
          </w:rPr>
          <w:t xml:space="preserve">World Bank estimating that about USD9.5tn </w:t>
        </w:r>
        <w:r w:rsidR="00B64F39">
          <w:rPr>
            <w:rFonts w:ascii="Book Antiqua" w:eastAsia="Calibri" w:hAnsi="Book Antiqua" w:cs="Times New Roman"/>
            <w:color w:val="1F3864" w:themeColor="accent1" w:themeShade="80"/>
            <w:sz w:val="24"/>
            <w:szCs w:val="24"/>
            <w:u w:val="single"/>
          </w:rPr>
          <w:t xml:space="preserve">is </w:t>
        </w:r>
        <w:r w:rsidRPr="00842A16">
          <w:rPr>
            <w:rFonts w:ascii="Book Antiqua" w:eastAsia="Calibri" w:hAnsi="Book Antiqua" w:cs="Times New Roman"/>
            <w:color w:val="1F3864" w:themeColor="accent1" w:themeShade="80"/>
            <w:sz w:val="24"/>
            <w:szCs w:val="24"/>
            <w:u w:val="single"/>
          </w:rPr>
          <w:t>spent annually on public contracts as at 2020</w:t>
        </w:r>
      </w:hyperlink>
      <w:r w:rsidRPr="00842A16">
        <w:rPr>
          <w:rFonts w:ascii="Book Antiqua" w:eastAsia="Calibri" w:hAnsi="Book Antiqua" w:cs="Times New Roman"/>
          <w:color w:val="1F3864" w:themeColor="accent1" w:themeShade="80"/>
          <w:sz w:val="24"/>
          <w:szCs w:val="24"/>
        </w:rPr>
        <w:t xml:space="preserve">. The bank thus recently developed the </w:t>
      </w:r>
      <w:hyperlink r:id="rId12" w:anchor="2" w:history="1">
        <w:r w:rsidRPr="00842A16">
          <w:rPr>
            <w:rFonts w:ascii="Book Antiqua" w:eastAsia="Calibri" w:hAnsi="Book Antiqua" w:cs="Times New Roman"/>
            <w:color w:val="1F3864" w:themeColor="accent1" w:themeShade="80"/>
            <w:sz w:val="24"/>
            <w:szCs w:val="24"/>
            <w:u w:val="single"/>
          </w:rPr>
          <w:t xml:space="preserve">Systematic Tracking Exchanges in Procurement (STEP) as a digitally-enabled monitoring and evaluation framework for procurement to enhance transparency and accountability through sustainable and inclusive participatory approaches within the framework of its Global Public Procurement Agenda. </w:t>
        </w:r>
      </w:hyperlink>
      <w:r w:rsidRPr="00842A16">
        <w:rPr>
          <w:rFonts w:ascii="Book Antiqua" w:eastAsia="Calibri" w:hAnsi="Book Antiqua" w:cs="Times New Roman"/>
          <w:color w:val="1F3864" w:themeColor="accent1" w:themeShade="80"/>
          <w:sz w:val="24"/>
          <w:szCs w:val="24"/>
        </w:rPr>
        <w:t xml:space="preserve"> </w:t>
      </w:r>
      <w:r w:rsidR="007F3E7F" w:rsidRPr="00842A16">
        <w:rPr>
          <w:rFonts w:ascii="Book Antiqua" w:hAnsi="Book Antiqua" w:cs="Times New Roman"/>
          <w:color w:val="1F3864" w:themeColor="accent1" w:themeShade="80"/>
          <w:sz w:val="24"/>
          <w:szCs w:val="24"/>
        </w:rPr>
        <w:t>In</w:t>
      </w:r>
      <w:r w:rsidRPr="00842A16">
        <w:rPr>
          <w:rFonts w:ascii="Book Antiqua" w:hAnsi="Book Antiqua" w:cs="Times New Roman"/>
          <w:color w:val="1F3864" w:themeColor="accent1" w:themeShade="80"/>
          <w:sz w:val="24"/>
          <w:szCs w:val="24"/>
        </w:rPr>
        <w:t xml:space="preserve"> line with this,</w:t>
      </w:r>
      <w:r w:rsidR="007F3E7F" w:rsidRPr="00842A16">
        <w:rPr>
          <w:rFonts w:ascii="Book Antiqua" w:hAnsi="Book Antiqua" w:cs="Times New Roman"/>
          <w:color w:val="1F3864" w:themeColor="accent1" w:themeShade="80"/>
          <w:sz w:val="24"/>
          <w:szCs w:val="24"/>
        </w:rPr>
        <w:t xml:space="preserve"> a Senior Adviser of the OECD/SIGMA Daniel Ivarsson</w:t>
      </w:r>
      <w:r w:rsidRPr="00842A16">
        <w:rPr>
          <w:rFonts w:ascii="Book Antiqua" w:hAnsi="Book Antiqua" w:cs="Times New Roman"/>
          <w:color w:val="1F3864" w:themeColor="accent1" w:themeShade="80"/>
          <w:sz w:val="24"/>
          <w:szCs w:val="24"/>
        </w:rPr>
        <w:t>, in his 2014 presentation in Istanbul</w:t>
      </w:r>
      <w:r w:rsidR="007F3E7F" w:rsidRPr="00842A16">
        <w:rPr>
          <w:rFonts w:ascii="Book Antiqua" w:hAnsi="Book Antiqua" w:cs="Times New Roman"/>
          <w:color w:val="1F3864" w:themeColor="accent1" w:themeShade="80"/>
          <w:sz w:val="24"/>
          <w:szCs w:val="24"/>
        </w:rPr>
        <w:t xml:space="preserve"> highlighted the general principles of public procurement to include Transparency- achieved through the clarity of procurement rules and publication of contract opportunities and awards; Economy – involving competitiveness that ensures the best value for money within a competitive supply mar</w:t>
      </w:r>
      <w:r w:rsidR="002F5F75" w:rsidRPr="00842A16">
        <w:rPr>
          <w:rFonts w:ascii="Book Antiqua" w:hAnsi="Book Antiqua" w:cs="Times New Roman"/>
          <w:color w:val="1F3864" w:themeColor="accent1" w:themeShade="80"/>
          <w:sz w:val="24"/>
          <w:szCs w:val="24"/>
        </w:rPr>
        <w:t xml:space="preserve">ket; Efficiency – through a commensurate adoption of the different procedures that suit specific procurement practices; </w:t>
      </w:r>
      <w:r w:rsidR="00696F4D" w:rsidRPr="00842A16">
        <w:rPr>
          <w:rFonts w:ascii="Book Antiqua" w:hAnsi="Book Antiqua" w:cs="Times New Roman"/>
          <w:color w:val="1F3864" w:themeColor="accent1" w:themeShade="80"/>
          <w:sz w:val="24"/>
          <w:szCs w:val="24"/>
        </w:rPr>
        <w:t>Non-Discrimination- where stipulated rules on qualification and bid evaluation are endorsed and applied in equal measures to bidders</w:t>
      </w:r>
      <w:r w:rsidR="00F95C30" w:rsidRPr="00842A16">
        <w:rPr>
          <w:rFonts w:ascii="Book Antiqua" w:hAnsi="Book Antiqua" w:cs="Times New Roman"/>
          <w:color w:val="1F3864" w:themeColor="accent1" w:themeShade="80"/>
          <w:sz w:val="24"/>
          <w:szCs w:val="24"/>
        </w:rPr>
        <w:t xml:space="preserve">; Accountability – In which procurements are subjected to occasional reviews to ensure remedies where needed to achieve the stipulated </w:t>
      </w:r>
      <w:r w:rsidR="00FD11DC" w:rsidRPr="00842A16">
        <w:rPr>
          <w:rFonts w:ascii="Book Antiqua" w:hAnsi="Book Antiqua" w:cs="Times New Roman"/>
          <w:color w:val="1F3864" w:themeColor="accent1" w:themeShade="80"/>
          <w:sz w:val="24"/>
          <w:szCs w:val="24"/>
        </w:rPr>
        <w:t>contract terms and Sustainability through the use of the most ‘economically advantageous’ tender</w:t>
      </w:r>
      <w:r w:rsidR="004508A6" w:rsidRPr="00842A16">
        <w:rPr>
          <w:rFonts w:ascii="Book Antiqua" w:hAnsi="Book Antiqua" w:cs="Times New Roman"/>
          <w:color w:val="1F3864" w:themeColor="accent1" w:themeShade="80"/>
          <w:sz w:val="24"/>
          <w:szCs w:val="24"/>
        </w:rPr>
        <w:t>.</w:t>
      </w:r>
    </w:p>
    <w:p w14:paraId="559E1D32" w14:textId="545F2FBA" w:rsidR="003A254A" w:rsidRPr="00842A16" w:rsidRDefault="003A254A" w:rsidP="003A254A">
      <w:pPr>
        <w:jc w:val="both"/>
        <w:rPr>
          <w:rFonts w:ascii="Book Antiqua" w:eastAsia="Calibri" w:hAnsi="Book Antiqua" w:cs="Times New Roman"/>
          <w:color w:val="1F3864" w:themeColor="accent1" w:themeShade="80"/>
          <w:sz w:val="24"/>
          <w:szCs w:val="24"/>
        </w:rPr>
      </w:pPr>
      <w:r w:rsidRPr="00842A16">
        <w:rPr>
          <w:rFonts w:ascii="Book Antiqua" w:eastAsia="Calibri" w:hAnsi="Book Antiqua" w:cs="Times New Roman"/>
          <w:color w:val="1F3864" w:themeColor="accent1" w:themeShade="80"/>
          <w:sz w:val="24"/>
          <w:szCs w:val="24"/>
        </w:rPr>
        <w:t xml:space="preserve">Similarly, while leveraging on the OECD Compendium of Good Practices for Integrity in Public procurement, the G20 during its 2015 Summit in Turkey highlighted its own 8 principles that were developed to facilitate integrity in public procurement practices, while emphasizing the importance of leveraging on information and technology tools and open data to attain the transparency, economy, competition, honesty as well as the prevention of corrupt practices. These principles include: accessibility (including lucidity) of laws, regulations, policies and procedures to the public; promotion of openness and competition through fair and equal treatment of potential and actual bidders; embrace of e-procurement solution in line with good practices to reduce corruption; creation of effective redress mechanisms for suppliers; inclusive </w:t>
      </w:r>
      <w:r w:rsidR="00B64F39">
        <w:rPr>
          <w:rFonts w:ascii="Book Antiqua" w:eastAsia="Calibri" w:hAnsi="Book Antiqua" w:cs="Times New Roman"/>
          <w:color w:val="1F3864" w:themeColor="accent1" w:themeShade="80"/>
          <w:sz w:val="24"/>
          <w:szCs w:val="24"/>
        </w:rPr>
        <w:t xml:space="preserve">of </w:t>
      </w:r>
      <w:r w:rsidRPr="00842A16">
        <w:rPr>
          <w:rFonts w:ascii="Book Antiqua" w:eastAsia="Calibri" w:hAnsi="Book Antiqua" w:cs="Times New Roman"/>
          <w:color w:val="1F3864" w:themeColor="accent1" w:themeShade="80"/>
          <w:sz w:val="24"/>
          <w:szCs w:val="24"/>
        </w:rPr>
        <w:t xml:space="preserve">legal and regulatory framework that facilitates the participation of the private sector and civil society organizations (CSOs); development of capabilities within the civil service for effective procurement practices; creation of effective public procurement institutions/offices for policy development and implementation as applicable; establishing a culture of integrity in public procurement among suppliers through capacity building, self-regulation and sanctions for previous convictions for corrupt practices. Additionally, the international Training Centre of the International </w:t>
      </w:r>
      <w:proofErr w:type="spellStart"/>
      <w:r w:rsidRPr="00842A16">
        <w:rPr>
          <w:rFonts w:ascii="Book Antiqua" w:eastAsia="Calibri" w:hAnsi="Book Antiqua" w:cs="Times New Roman"/>
          <w:color w:val="1F3864" w:themeColor="accent1" w:themeShade="80"/>
          <w:sz w:val="24"/>
          <w:szCs w:val="24"/>
        </w:rPr>
        <w:t>Labour</w:t>
      </w:r>
      <w:proofErr w:type="spellEnd"/>
      <w:r w:rsidRPr="00842A16">
        <w:rPr>
          <w:rFonts w:ascii="Book Antiqua" w:eastAsia="Calibri" w:hAnsi="Book Antiqua" w:cs="Times New Roman"/>
          <w:color w:val="1F3864" w:themeColor="accent1" w:themeShade="80"/>
          <w:sz w:val="24"/>
          <w:szCs w:val="24"/>
        </w:rPr>
        <w:t xml:space="preserve"> </w:t>
      </w:r>
      <w:proofErr w:type="spellStart"/>
      <w:r w:rsidRPr="00842A16">
        <w:rPr>
          <w:rFonts w:ascii="Book Antiqua" w:eastAsia="Calibri" w:hAnsi="Book Antiqua" w:cs="Times New Roman"/>
          <w:color w:val="1F3864" w:themeColor="accent1" w:themeShade="80"/>
          <w:sz w:val="24"/>
          <w:szCs w:val="24"/>
        </w:rPr>
        <w:t>Organisation</w:t>
      </w:r>
      <w:proofErr w:type="spellEnd"/>
      <w:r w:rsidRPr="00842A16">
        <w:rPr>
          <w:rFonts w:ascii="Book Antiqua" w:eastAsia="Calibri" w:hAnsi="Book Antiqua" w:cs="Times New Roman"/>
          <w:color w:val="1F3864" w:themeColor="accent1" w:themeShade="80"/>
          <w:sz w:val="24"/>
          <w:szCs w:val="24"/>
        </w:rPr>
        <w:t xml:space="preserve"> noted that it was important that good public procurement practices give due considerations to the </w:t>
      </w:r>
      <w:hyperlink r:id="rId13" w:history="1">
        <w:r w:rsidRPr="00842A16">
          <w:rPr>
            <w:rFonts w:ascii="Book Antiqua" w:eastAsia="Calibri" w:hAnsi="Book Antiqua" w:cs="Times New Roman"/>
            <w:color w:val="1F3864" w:themeColor="accent1" w:themeShade="80"/>
            <w:sz w:val="24"/>
            <w:szCs w:val="24"/>
            <w:u w:val="single"/>
          </w:rPr>
          <w:t xml:space="preserve">interest of the contractor to ensure that the contract is executed in a satisfactory manner, while also maintaining a client-centric approach in which the satisfaction of the client should be a paramount focus </w:t>
        </w:r>
      </w:hyperlink>
      <w:r w:rsidRPr="00842A16">
        <w:rPr>
          <w:rFonts w:ascii="Book Antiqua" w:eastAsia="Calibri" w:hAnsi="Book Antiqua" w:cs="Times New Roman"/>
          <w:color w:val="1F3864" w:themeColor="accent1" w:themeShade="80"/>
          <w:sz w:val="24"/>
          <w:szCs w:val="24"/>
        </w:rPr>
        <w:t xml:space="preserve">. </w:t>
      </w:r>
    </w:p>
    <w:p w14:paraId="3039320A" w14:textId="77777777" w:rsidR="00B2295B" w:rsidRDefault="003A254A" w:rsidP="003A254A">
      <w:pPr>
        <w:jc w:val="both"/>
        <w:rPr>
          <w:rFonts w:ascii="Book Antiqua" w:eastAsia="Calibri" w:hAnsi="Book Antiqua" w:cs="Times New Roman"/>
          <w:color w:val="1F3864" w:themeColor="accent1" w:themeShade="80"/>
          <w:sz w:val="24"/>
          <w:szCs w:val="24"/>
        </w:rPr>
      </w:pPr>
      <w:r w:rsidRPr="00842A16">
        <w:rPr>
          <w:rFonts w:ascii="Book Antiqua" w:eastAsia="Calibri" w:hAnsi="Book Antiqua" w:cs="Times New Roman"/>
          <w:color w:val="1F3864" w:themeColor="accent1" w:themeShade="80"/>
          <w:sz w:val="24"/>
          <w:szCs w:val="24"/>
        </w:rPr>
        <w:lastRenderedPageBreak/>
        <w:t xml:space="preserve">In Nigeria, the Public Procurement Act, 2007 was created to enable procurement reforms in the public sector as a means of ensuring compliance with the recommendations of the World Bank as contained in its 1999 country procurement Assessment. </w:t>
      </w:r>
      <w:hyperlink r:id="rId14" w:history="1">
        <w:r w:rsidRPr="00842A16">
          <w:rPr>
            <w:rFonts w:ascii="Book Antiqua" w:eastAsia="Calibri" w:hAnsi="Book Antiqua" w:cs="Times New Roman"/>
            <w:color w:val="1F3864" w:themeColor="accent1" w:themeShade="80"/>
            <w:sz w:val="24"/>
            <w:szCs w:val="24"/>
            <w:u w:val="single"/>
          </w:rPr>
          <w:t>This was six years after the Federal government had set up the Budget Monitoring and Price Intelligent Unit (BMPIU) to implement its Public Procurement Policy, which was part of its Economic Reform Agenda</w:t>
        </w:r>
      </w:hyperlink>
      <w:r w:rsidRPr="00842A16">
        <w:rPr>
          <w:rFonts w:ascii="Book Antiqua" w:eastAsia="Calibri" w:hAnsi="Book Antiqua" w:cs="Times New Roman"/>
          <w:color w:val="1F3864" w:themeColor="accent1" w:themeShade="80"/>
          <w:sz w:val="24"/>
          <w:szCs w:val="24"/>
        </w:rPr>
        <w:t xml:space="preserve">. Among other things, the act stipulated the conditions for outsourcing procurement including where there is little or no capacity within procurement entities; establishment of monetary thresholds, usage of open competitive bidding in a transparent, equitable and efficient manner, establishment of tenders’ boards as approving authority and requirements for qualification of bidders. </w:t>
      </w:r>
      <w:hyperlink r:id="rId15" w:history="1">
        <w:r w:rsidRPr="00842A16">
          <w:rPr>
            <w:rFonts w:ascii="Book Antiqua" w:eastAsia="Calibri" w:hAnsi="Book Antiqua" w:cs="Times New Roman"/>
            <w:color w:val="1F3864" w:themeColor="accent1" w:themeShade="80"/>
            <w:sz w:val="24"/>
            <w:szCs w:val="24"/>
            <w:u w:val="single"/>
          </w:rPr>
          <w:t xml:space="preserve">More importantly, the act recommended the establishment of the Bureau for Public Procurement (BPP) and the National Council for Public Procurement (NCPP) to carry out oversight on the implementation of the Law </w:t>
        </w:r>
      </w:hyperlink>
      <w:r w:rsidRPr="00842A16">
        <w:rPr>
          <w:rFonts w:ascii="Book Antiqua" w:eastAsia="Calibri" w:hAnsi="Book Antiqua" w:cs="Times New Roman"/>
          <w:color w:val="1F3864" w:themeColor="accent1" w:themeShade="80"/>
          <w:sz w:val="24"/>
          <w:szCs w:val="24"/>
        </w:rPr>
        <w:t xml:space="preserve"> . While the BPP had been constituted as established by the act, the role of the NCPP had been appropriated by the Federal Executive Council. The </w:t>
      </w:r>
      <w:hyperlink r:id="rId16" w:history="1">
        <w:r w:rsidRPr="00842A16">
          <w:rPr>
            <w:rFonts w:ascii="Book Antiqua" w:eastAsia="Calibri" w:hAnsi="Book Antiqua" w:cs="Times New Roman"/>
            <w:color w:val="1F3864" w:themeColor="accent1" w:themeShade="80"/>
            <w:sz w:val="24"/>
            <w:szCs w:val="24"/>
            <w:u w:val="single"/>
          </w:rPr>
          <w:t xml:space="preserve">BPP subsequently created the Public Procurement Regulations for Consultants’ Services, 2007 (PPRCS) and Public Procurement Regulations for Goods and Works, 2007 (PPRGW) </w:t>
        </w:r>
      </w:hyperlink>
      <w:r w:rsidRPr="00842A16">
        <w:rPr>
          <w:rFonts w:ascii="Book Antiqua" w:eastAsia="Calibri" w:hAnsi="Book Antiqua" w:cs="Times New Roman"/>
          <w:color w:val="1F3864" w:themeColor="accent1" w:themeShade="80"/>
          <w:sz w:val="24"/>
          <w:szCs w:val="24"/>
        </w:rPr>
        <w:t xml:space="preserve"> as subsidiary legislations for the procurement of goods, works and services within the federal government’s ministries, departments, agencies, extra-ministerial offices, parastatals and corporations. </w:t>
      </w:r>
    </w:p>
    <w:p w14:paraId="70F6BD52" w14:textId="09E6F919" w:rsidR="00B2295B" w:rsidRDefault="003A254A" w:rsidP="003A254A">
      <w:pPr>
        <w:jc w:val="both"/>
        <w:rPr>
          <w:rFonts w:ascii="Book Antiqua" w:eastAsia="Calibri" w:hAnsi="Book Antiqua" w:cs="Times New Roman"/>
          <w:color w:val="1F3864" w:themeColor="accent1" w:themeShade="80"/>
          <w:sz w:val="24"/>
          <w:szCs w:val="24"/>
        </w:rPr>
      </w:pPr>
      <w:r w:rsidRPr="00842A16">
        <w:rPr>
          <w:rFonts w:ascii="Book Antiqua" w:eastAsia="Calibri" w:hAnsi="Book Antiqua" w:cs="Times New Roman"/>
          <w:color w:val="1F3864" w:themeColor="accent1" w:themeShade="80"/>
          <w:sz w:val="24"/>
          <w:szCs w:val="24"/>
        </w:rPr>
        <w:t>The lack of oversight by the NCPP continues to raise red flags on its independence and the ability to carry out its functions in a transparent, accountable and efficient manner as stipulated under the law (</w:t>
      </w:r>
      <w:proofErr w:type="spellStart"/>
      <w:r w:rsidRPr="00842A16">
        <w:rPr>
          <w:rFonts w:ascii="Book Antiqua" w:eastAsia="Calibri" w:hAnsi="Book Antiqua" w:cs="Times New Roman"/>
          <w:color w:val="1F3864" w:themeColor="accent1" w:themeShade="80"/>
          <w:sz w:val="24"/>
          <w:szCs w:val="24"/>
        </w:rPr>
        <w:t>Kwen</w:t>
      </w:r>
      <w:proofErr w:type="spellEnd"/>
      <w:r w:rsidRPr="00842A16">
        <w:rPr>
          <w:rFonts w:ascii="Book Antiqua" w:eastAsia="Calibri" w:hAnsi="Book Antiqua" w:cs="Times New Roman"/>
          <w:color w:val="1F3864" w:themeColor="accent1" w:themeShade="80"/>
          <w:sz w:val="24"/>
          <w:szCs w:val="24"/>
        </w:rPr>
        <w:t xml:space="preserve">, 2020). This challenge highlights the problem of corruption that remains endemic in the country, with the country ranked as </w:t>
      </w:r>
      <w:hyperlink r:id="rId17" w:history="1">
        <w:r w:rsidRPr="00842A16">
          <w:rPr>
            <w:rFonts w:ascii="Book Antiqua" w:eastAsia="Calibri" w:hAnsi="Book Antiqua" w:cs="Times New Roman"/>
            <w:color w:val="1F3864" w:themeColor="accent1" w:themeShade="80"/>
            <w:sz w:val="24"/>
            <w:szCs w:val="24"/>
            <w:u w:val="single"/>
          </w:rPr>
          <w:t xml:space="preserve">154 out of 180 </w:t>
        </w:r>
      </w:hyperlink>
      <w:r w:rsidRPr="00842A16">
        <w:rPr>
          <w:rFonts w:ascii="Book Antiqua" w:eastAsia="Calibri" w:hAnsi="Book Antiqua" w:cs="Times New Roman"/>
          <w:color w:val="1F3864" w:themeColor="accent1" w:themeShade="80"/>
          <w:sz w:val="24"/>
          <w:szCs w:val="24"/>
        </w:rPr>
        <w:t xml:space="preserve">in the recent global corruption index. </w:t>
      </w:r>
      <w:r w:rsidR="00B64F39">
        <w:rPr>
          <w:rFonts w:ascii="Book Antiqua" w:eastAsia="Calibri" w:hAnsi="Book Antiqua" w:cs="Times New Roman"/>
          <w:color w:val="1F3864" w:themeColor="accent1" w:themeShade="80"/>
          <w:sz w:val="24"/>
          <w:szCs w:val="24"/>
        </w:rPr>
        <w:t>I</w:t>
      </w:r>
      <w:r w:rsidRPr="00842A16">
        <w:rPr>
          <w:rFonts w:ascii="Book Antiqua" w:eastAsia="Calibri" w:hAnsi="Book Antiqua" w:cs="Times New Roman"/>
          <w:color w:val="1F3864" w:themeColor="accent1" w:themeShade="80"/>
          <w:sz w:val="24"/>
          <w:szCs w:val="24"/>
        </w:rPr>
        <w:t xml:space="preserve">n June 2022, the Chairman of the Independent Corrupt Practices and Other Related Offences Commission had maintained that </w:t>
      </w:r>
      <w:hyperlink r:id="rId18" w:history="1">
        <w:r w:rsidRPr="00842A16">
          <w:rPr>
            <w:rFonts w:ascii="Book Antiqua" w:eastAsia="Calibri" w:hAnsi="Book Antiqua" w:cs="Times New Roman"/>
            <w:color w:val="1F3864" w:themeColor="accent1" w:themeShade="80"/>
            <w:sz w:val="24"/>
            <w:szCs w:val="24"/>
            <w:u w:val="single"/>
          </w:rPr>
          <w:t>the corrupt practices in the public sector are basically perpetuated through ineffective and inefficient procurement processes</w:t>
        </w:r>
      </w:hyperlink>
      <w:r w:rsidRPr="00842A16">
        <w:rPr>
          <w:rFonts w:ascii="Book Antiqua" w:eastAsia="Calibri" w:hAnsi="Book Antiqua" w:cs="Times New Roman"/>
          <w:color w:val="1F3864" w:themeColor="accent1" w:themeShade="80"/>
          <w:sz w:val="24"/>
          <w:szCs w:val="24"/>
        </w:rPr>
        <w:t xml:space="preserve">, thereby reiterating the importance of embracing good practices within the Nigerian public sector to enhance the fight against corruption.  While the BPP has taken steps towards accountability and transparency with the creation of the Nigerian Open Contracting Portal (NOCOPO) as a step towards a technology-driven initiative of accountability and transparency in public procurement through open-data publication, </w:t>
      </w:r>
      <w:hyperlink r:id="rId19" w:history="1">
        <w:r w:rsidRPr="00842A16">
          <w:rPr>
            <w:rFonts w:ascii="Book Antiqua" w:eastAsia="Calibri" w:hAnsi="Book Antiqua" w:cs="Times New Roman"/>
            <w:color w:val="1F3864" w:themeColor="accent1" w:themeShade="80"/>
            <w:sz w:val="24"/>
            <w:szCs w:val="24"/>
            <w:u w:val="single"/>
          </w:rPr>
          <w:t xml:space="preserve">there are still challenges within the procurement practices of certain MDAs with allegations of collusion between procurement officers and contractors involved in contract splitting, bid rigging, collusive agreements and anticipatory approvals </w:t>
        </w:r>
      </w:hyperlink>
      <w:r w:rsidRPr="00842A16">
        <w:rPr>
          <w:rFonts w:ascii="Book Antiqua" w:eastAsia="Calibri" w:hAnsi="Book Antiqua" w:cs="Times New Roman"/>
          <w:color w:val="1F3864" w:themeColor="accent1" w:themeShade="80"/>
          <w:sz w:val="24"/>
          <w:szCs w:val="24"/>
        </w:rPr>
        <w:t xml:space="preserve"> . </w:t>
      </w:r>
      <w:r w:rsidR="002C37B6">
        <w:rPr>
          <w:rFonts w:ascii="Book Antiqua" w:eastAsia="Calibri" w:hAnsi="Book Antiqua" w:cs="Times New Roman"/>
          <w:color w:val="1F3864" w:themeColor="accent1" w:themeShade="80"/>
          <w:sz w:val="24"/>
          <w:szCs w:val="24"/>
        </w:rPr>
        <w:t>S</w:t>
      </w:r>
      <w:r w:rsidRPr="00842A16">
        <w:rPr>
          <w:rFonts w:ascii="Book Antiqua" w:eastAsia="Calibri" w:hAnsi="Book Antiqua" w:cs="Times New Roman"/>
          <w:color w:val="1F3864" w:themeColor="accent1" w:themeShade="80"/>
          <w:sz w:val="24"/>
          <w:szCs w:val="24"/>
        </w:rPr>
        <w:t xml:space="preserve">everal federating states are still to embrace the good practices in line with the recommendations of international financial institutions and regional bodies. However, some states are leveraging on the State Fiscal Transparency, Accountability, and Sustainability (SFTAS) project, out of which Edo State in South-South Nigeria is renowned for its efforts at </w:t>
      </w:r>
      <w:r w:rsidRPr="00842A16">
        <w:rPr>
          <w:rFonts w:ascii="Book Antiqua" w:eastAsia="Calibri" w:hAnsi="Book Antiqua" w:cs="Times New Roman"/>
          <w:color w:val="1F3864" w:themeColor="accent1" w:themeShade="80"/>
          <w:sz w:val="24"/>
          <w:szCs w:val="24"/>
        </w:rPr>
        <w:lastRenderedPageBreak/>
        <w:t xml:space="preserve">embracing and propagating the open data publication and open contracting, especially as it has undertaken important reforms in its procurement sector. </w:t>
      </w:r>
    </w:p>
    <w:p w14:paraId="0A3CDF18" w14:textId="219542CE" w:rsidR="001E6115" w:rsidRPr="00842A16" w:rsidRDefault="003A254A" w:rsidP="003A254A">
      <w:pPr>
        <w:jc w:val="both"/>
        <w:rPr>
          <w:rFonts w:ascii="Book Antiqua" w:eastAsia="Calibri" w:hAnsi="Book Antiqua" w:cs="Times New Roman"/>
          <w:color w:val="1F3864" w:themeColor="accent1" w:themeShade="80"/>
          <w:sz w:val="24"/>
          <w:szCs w:val="24"/>
        </w:rPr>
      </w:pPr>
      <w:r w:rsidRPr="00842A16">
        <w:rPr>
          <w:rFonts w:ascii="Book Antiqua" w:eastAsia="Calibri" w:hAnsi="Book Antiqua" w:cs="Times New Roman"/>
          <w:color w:val="1F3864" w:themeColor="accent1" w:themeShade="80"/>
          <w:sz w:val="24"/>
          <w:szCs w:val="24"/>
        </w:rPr>
        <w:t xml:space="preserve">In line with the objectives of strengthening the states’ capacities to </w:t>
      </w:r>
      <w:r w:rsidR="00991BD7" w:rsidRPr="00842A16">
        <w:rPr>
          <w:rFonts w:ascii="Book Antiqua" w:eastAsia="Calibri" w:hAnsi="Book Antiqua" w:cs="Times New Roman"/>
          <w:color w:val="1F3864" w:themeColor="accent1" w:themeShade="80"/>
          <w:sz w:val="24"/>
          <w:szCs w:val="24"/>
        </w:rPr>
        <w:t xml:space="preserve">run </w:t>
      </w:r>
      <w:r w:rsidR="00376D75" w:rsidRPr="00842A16">
        <w:rPr>
          <w:rFonts w:ascii="Book Antiqua" w:eastAsia="Calibri" w:hAnsi="Book Antiqua" w:cs="Times New Roman"/>
          <w:color w:val="1F3864" w:themeColor="accent1" w:themeShade="80"/>
          <w:sz w:val="24"/>
          <w:szCs w:val="24"/>
        </w:rPr>
        <w:t xml:space="preserve">inclusive, </w:t>
      </w:r>
      <w:r w:rsidR="00991BD7" w:rsidRPr="00842A16">
        <w:rPr>
          <w:rFonts w:ascii="Book Antiqua" w:eastAsia="Calibri" w:hAnsi="Book Antiqua" w:cs="Times New Roman"/>
          <w:color w:val="1F3864" w:themeColor="accent1" w:themeShade="80"/>
          <w:sz w:val="24"/>
          <w:szCs w:val="24"/>
        </w:rPr>
        <w:t>efficient, effective and resilient procurement systems, the UNDP-led Consortium comprising Accountability Lab Nigeria and Open Contracting Partnership engaged consultants to review the procurement policies of three states namely Edo, Ekiti and Plateau states</w:t>
      </w:r>
      <w:r w:rsidR="001E6115" w:rsidRPr="00842A16">
        <w:rPr>
          <w:rFonts w:ascii="Book Antiqua" w:eastAsia="Calibri" w:hAnsi="Book Antiqua" w:cs="Times New Roman"/>
          <w:color w:val="1F3864" w:themeColor="accent1" w:themeShade="80"/>
          <w:sz w:val="24"/>
          <w:szCs w:val="24"/>
        </w:rPr>
        <w:t xml:space="preserve"> towards strengthening the procurement systems in each of th</w:t>
      </w:r>
      <w:r w:rsidR="00376D75" w:rsidRPr="00842A16">
        <w:rPr>
          <w:rFonts w:ascii="Book Antiqua" w:eastAsia="Calibri" w:hAnsi="Book Antiqua" w:cs="Times New Roman"/>
          <w:color w:val="1F3864" w:themeColor="accent1" w:themeShade="80"/>
          <w:sz w:val="24"/>
          <w:szCs w:val="24"/>
        </w:rPr>
        <w:t>ese</w:t>
      </w:r>
      <w:r w:rsidR="001E6115" w:rsidRPr="00842A16">
        <w:rPr>
          <w:rFonts w:ascii="Book Antiqua" w:eastAsia="Calibri" w:hAnsi="Book Antiqua" w:cs="Times New Roman"/>
          <w:color w:val="1F3864" w:themeColor="accent1" w:themeShade="80"/>
          <w:sz w:val="24"/>
          <w:szCs w:val="24"/>
        </w:rPr>
        <w:t xml:space="preserve"> state</w:t>
      </w:r>
      <w:r w:rsidR="00376D75" w:rsidRPr="00842A16">
        <w:rPr>
          <w:rFonts w:ascii="Book Antiqua" w:eastAsia="Calibri" w:hAnsi="Book Antiqua" w:cs="Times New Roman"/>
          <w:color w:val="1F3864" w:themeColor="accent1" w:themeShade="80"/>
          <w:sz w:val="24"/>
          <w:szCs w:val="24"/>
        </w:rPr>
        <w:t>s</w:t>
      </w:r>
      <w:r w:rsidR="001E6115" w:rsidRPr="00842A16">
        <w:rPr>
          <w:rFonts w:ascii="Book Antiqua" w:eastAsia="Calibri" w:hAnsi="Book Antiqua" w:cs="Times New Roman"/>
          <w:color w:val="1F3864" w:themeColor="accent1" w:themeShade="80"/>
          <w:sz w:val="24"/>
          <w:szCs w:val="24"/>
        </w:rPr>
        <w:t>. This report thus details the policy review engagement in Edo state conducted in</w:t>
      </w:r>
      <w:r w:rsidR="002400E5" w:rsidRPr="00842A16">
        <w:rPr>
          <w:rFonts w:ascii="Book Antiqua" w:eastAsia="Calibri" w:hAnsi="Book Antiqua" w:cs="Times New Roman"/>
          <w:color w:val="1F3864" w:themeColor="accent1" w:themeShade="80"/>
          <w:sz w:val="24"/>
          <w:szCs w:val="24"/>
        </w:rPr>
        <w:t xml:space="preserve"> August, 2022</w:t>
      </w:r>
      <w:r w:rsidR="001E6115" w:rsidRPr="00842A16">
        <w:rPr>
          <w:rFonts w:ascii="Book Antiqua" w:eastAsia="Calibri" w:hAnsi="Book Antiqua" w:cs="Times New Roman"/>
          <w:color w:val="1F3864" w:themeColor="accent1" w:themeShade="80"/>
          <w:sz w:val="24"/>
          <w:szCs w:val="24"/>
        </w:rPr>
        <w:t>.</w:t>
      </w:r>
      <w:r w:rsidR="00280570" w:rsidRPr="00842A16">
        <w:rPr>
          <w:rFonts w:ascii="Book Antiqua" w:eastAsia="Calibri" w:hAnsi="Book Antiqua" w:cs="Times New Roman"/>
          <w:color w:val="1F3864" w:themeColor="accent1" w:themeShade="80"/>
          <w:sz w:val="24"/>
          <w:szCs w:val="24"/>
        </w:rPr>
        <w:t xml:space="preserve"> The </w:t>
      </w:r>
      <w:r w:rsidR="00513FF3" w:rsidRPr="00842A16">
        <w:rPr>
          <w:rFonts w:ascii="Book Antiqua" w:eastAsia="Calibri" w:hAnsi="Book Antiqua" w:cs="Times New Roman"/>
          <w:color w:val="1F3864" w:themeColor="accent1" w:themeShade="80"/>
          <w:sz w:val="24"/>
          <w:szCs w:val="24"/>
        </w:rPr>
        <w:t xml:space="preserve">methodology </w:t>
      </w:r>
      <w:r w:rsidR="00280570" w:rsidRPr="00842A16">
        <w:rPr>
          <w:rFonts w:ascii="Book Antiqua" w:eastAsia="Calibri" w:hAnsi="Book Antiqua" w:cs="Times New Roman"/>
          <w:color w:val="1F3864" w:themeColor="accent1" w:themeShade="80"/>
          <w:sz w:val="24"/>
          <w:szCs w:val="24"/>
        </w:rPr>
        <w:t xml:space="preserve">basically </w:t>
      </w:r>
      <w:r w:rsidR="00513FF3" w:rsidRPr="00842A16">
        <w:rPr>
          <w:rFonts w:ascii="Book Antiqua" w:eastAsia="Calibri" w:hAnsi="Book Antiqua" w:cs="Times New Roman"/>
          <w:color w:val="1F3864" w:themeColor="accent1" w:themeShade="80"/>
          <w:sz w:val="24"/>
          <w:szCs w:val="24"/>
        </w:rPr>
        <w:t xml:space="preserve">entailed </w:t>
      </w:r>
      <w:r w:rsidR="00280570" w:rsidRPr="00842A16">
        <w:rPr>
          <w:rFonts w:ascii="Book Antiqua" w:eastAsia="Calibri" w:hAnsi="Book Antiqua" w:cs="Times New Roman"/>
          <w:color w:val="1F3864" w:themeColor="accent1" w:themeShade="80"/>
          <w:sz w:val="24"/>
          <w:szCs w:val="24"/>
        </w:rPr>
        <w:t>focus</w:t>
      </w:r>
      <w:r w:rsidR="00513FF3" w:rsidRPr="00842A16">
        <w:rPr>
          <w:rFonts w:ascii="Book Antiqua" w:eastAsia="Calibri" w:hAnsi="Book Antiqua" w:cs="Times New Roman"/>
          <w:color w:val="1F3864" w:themeColor="accent1" w:themeShade="80"/>
          <w:sz w:val="24"/>
          <w:szCs w:val="24"/>
        </w:rPr>
        <w:t xml:space="preserve"> group discussions and interview sessions with members of</w:t>
      </w:r>
      <w:r w:rsidR="00280570" w:rsidRPr="00842A16">
        <w:rPr>
          <w:rFonts w:ascii="Book Antiqua" w:eastAsia="Calibri" w:hAnsi="Book Antiqua" w:cs="Times New Roman"/>
          <w:color w:val="1F3864" w:themeColor="accent1" w:themeShade="80"/>
          <w:sz w:val="24"/>
          <w:szCs w:val="24"/>
        </w:rPr>
        <w:t xml:space="preserve"> the Edo State Public Procurement Agency (EDPPA) as the key institution, </w:t>
      </w:r>
      <w:r w:rsidR="00513FF3" w:rsidRPr="00842A16">
        <w:rPr>
          <w:rFonts w:ascii="Book Antiqua" w:eastAsia="Calibri" w:hAnsi="Book Antiqua" w:cs="Times New Roman"/>
          <w:color w:val="1F3864" w:themeColor="accent1" w:themeShade="80"/>
          <w:sz w:val="24"/>
          <w:szCs w:val="24"/>
        </w:rPr>
        <w:t>and other ancillary ministries including</w:t>
      </w:r>
      <w:r w:rsidR="00280570" w:rsidRPr="00842A16">
        <w:rPr>
          <w:rFonts w:ascii="Book Antiqua" w:eastAsia="Calibri" w:hAnsi="Book Antiqua" w:cs="Times New Roman"/>
          <w:color w:val="1F3864" w:themeColor="accent1" w:themeShade="80"/>
          <w:sz w:val="24"/>
          <w:szCs w:val="24"/>
        </w:rPr>
        <w:t xml:space="preserve"> </w:t>
      </w:r>
      <w:r w:rsidR="00E6417E" w:rsidRPr="00842A16">
        <w:rPr>
          <w:rFonts w:ascii="Book Antiqua" w:eastAsia="Calibri" w:hAnsi="Book Antiqua" w:cs="Times New Roman"/>
          <w:color w:val="1F3864" w:themeColor="accent1" w:themeShade="80"/>
          <w:sz w:val="24"/>
          <w:szCs w:val="24"/>
        </w:rPr>
        <w:t>representatives</w:t>
      </w:r>
      <w:r w:rsidR="00280570" w:rsidRPr="00842A16">
        <w:rPr>
          <w:rFonts w:ascii="Book Antiqua" w:eastAsia="Calibri" w:hAnsi="Book Antiqua" w:cs="Times New Roman"/>
          <w:color w:val="1F3864" w:themeColor="accent1" w:themeShade="80"/>
          <w:sz w:val="24"/>
          <w:szCs w:val="24"/>
        </w:rPr>
        <w:t xml:space="preserve"> of the Ministr</w:t>
      </w:r>
      <w:r w:rsidR="00E6417E" w:rsidRPr="00842A16">
        <w:rPr>
          <w:rFonts w:ascii="Book Antiqua" w:eastAsia="Calibri" w:hAnsi="Book Antiqua" w:cs="Times New Roman"/>
          <w:color w:val="1F3864" w:themeColor="accent1" w:themeShade="80"/>
          <w:sz w:val="24"/>
          <w:szCs w:val="24"/>
        </w:rPr>
        <w:t>ies</w:t>
      </w:r>
      <w:r w:rsidR="00280570" w:rsidRPr="00842A16">
        <w:rPr>
          <w:rFonts w:ascii="Book Antiqua" w:eastAsia="Calibri" w:hAnsi="Book Antiqua" w:cs="Times New Roman"/>
          <w:color w:val="1F3864" w:themeColor="accent1" w:themeShade="80"/>
          <w:sz w:val="24"/>
          <w:szCs w:val="24"/>
        </w:rPr>
        <w:t xml:space="preserve"> of Education, </w:t>
      </w:r>
      <w:r w:rsidR="00E6417E" w:rsidRPr="00842A16">
        <w:rPr>
          <w:rFonts w:ascii="Book Antiqua" w:eastAsia="Calibri" w:hAnsi="Book Antiqua" w:cs="Times New Roman"/>
          <w:color w:val="1F3864" w:themeColor="accent1" w:themeShade="80"/>
          <w:sz w:val="24"/>
          <w:szCs w:val="24"/>
        </w:rPr>
        <w:t xml:space="preserve">Budget and </w:t>
      </w:r>
      <w:r w:rsidR="002C37B6">
        <w:rPr>
          <w:rFonts w:ascii="Book Antiqua" w:eastAsia="Calibri" w:hAnsi="Book Antiqua" w:cs="Times New Roman"/>
          <w:color w:val="1F3864" w:themeColor="accent1" w:themeShade="80"/>
          <w:sz w:val="24"/>
          <w:szCs w:val="24"/>
        </w:rPr>
        <w:t>Economic</w:t>
      </w:r>
      <w:r w:rsidR="00E6417E" w:rsidRPr="00842A16">
        <w:rPr>
          <w:rFonts w:ascii="Book Antiqua" w:eastAsia="Calibri" w:hAnsi="Book Antiqua" w:cs="Times New Roman"/>
          <w:color w:val="1F3864" w:themeColor="accent1" w:themeShade="80"/>
          <w:sz w:val="24"/>
          <w:szCs w:val="24"/>
        </w:rPr>
        <w:t xml:space="preserve"> Planning, Health, Roads and Bridges</w:t>
      </w:r>
      <w:r w:rsidR="002C37B6">
        <w:rPr>
          <w:rFonts w:ascii="Book Antiqua" w:eastAsia="Calibri" w:hAnsi="Book Antiqua" w:cs="Times New Roman"/>
          <w:color w:val="1F3864" w:themeColor="accent1" w:themeShade="80"/>
          <w:sz w:val="24"/>
          <w:szCs w:val="24"/>
        </w:rPr>
        <w:t>,</w:t>
      </w:r>
      <w:r w:rsidR="00E6417E" w:rsidRPr="00842A16">
        <w:rPr>
          <w:rFonts w:ascii="Book Antiqua" w:eastAsia="Calibri" w:hAnsi="Book Antiqua" w:cs="Times New Roman"/>
          <w:color w:val="1F3864" w:themeColor="accent1" w:themeShade="80"/>
          <w:sz w:val="24"/>
          <w:szCs w:val="24"/>
        </w:rPr>
        <w:t xml:space="preserve"> and the Edo State Public Building and Maintenance Agency.</w:t>
      </w:r>
      <w:r w:rsidR="00BF0E88" w:rsidRPr="00842A16">
        <w:rPr>
          <w:rFonts w:ascii="Book Antiqua" w:eastAsia="Calibri" w:hAnsi="Book Antiqua" w:cs="Times New Roman"/>
          <w:color w:val="1F3864" w:themeColor="accent1" w:themeShade="80"/>
          <w:sz w:val="24"/>
          <w:szCs w:val="24"/>
        </w:rPr>
        <w:t xml:space="preserve"> </w:t>
      </w:r>
      <w:r w:rsidR="006531CA" w:rsidRPr="00842A16">
        <w:rPr>
          <w:rFonts w:ascii="Book Antiqua" w:eastAsia="Calibri" w:hAnsi="Book Antiqua" w:cs="Times New Roman"/>
          <w:color w:val="1F3864" w:themeColor="accent1" w:themeShade="80"/>
          <w:sz w:val="24"/>
          <w:szCs w:val="24"/>
        </w:rPr>
        <w:t xml:space="preserve">These ministries were sampled based on the priority they enjoy within the state’s fiscal policy, as they are jointly responsible for </w:t>
      </w:r>
      <w:r w:rsidR="00E916E8" w:rsidRPr="00842A16">
        <w:rPr>
          <w:rFonts w:ascii="Book Antiqua" w:eastAsia="Calibri" w:hAnsi="Book Antiqua" w:cs="Times New Roman"/>
          <w:color w:val="1F3864" w:themeColor="accent1" w:themeShade="80"/>
          <w:sz w:val="24"/>
          <w:szCs w:val="24"/>
        </w:rPr>
        <w:t>about 60% of the state’s capital expenditure.</w:t>
      </w:r>
      <w:r w:rsidR="006531CA" w:rsidRPr="00842A16">
        <w:rPr>
          <w:rFonts w:ascii="Book Antiqua" w:eastAsia="Calibri" w:hAnsi="Book Antiqua" w:cs="Times New Roman"/>
          <w:color w:val="1F3864" w:themeColor="accent1" w:themeShade="80"/>
          <w:sz w:val="24"/>
          <w:szCs w:val="24"/>
        </w:rPr>
        <w:t xml:space="preserve"> </w:t>
      </w:r>
      <w:r w:rsidR="00BF0E88" w:rsidRPr="00842A16">
        <w:rPr>
          <w:rFonts w:ascii="Book Antiqua" w:eastAsia="Calibri" w:hAnsi="Book Antiqua" w:cs="Times New Roman"/>
          <w:color w:val="1F3864" w:themeColor="accent1" w:themeShade="80"/>
          <w:sz w:val="24"/>
          <w:szCs w:val="24"/>
        </w:rPr>
        <w:t>It also included desktop review of the policy documents of the agency, that were evaluated using the yardstick of the aforementioned good global practices to inform recommendations on improvement.</w:t>
      </w:r>
    </w:p>
    <w:p w14:paraId="3676C5AF" w14:textId="77777777" w:rsidR="001E6115" w:rsidRPr="00842A16" w:rsidRDefault="001E6115" w:rsidP="003A254A">
      <w:pPr>
        <w:jc w:val="both"/>
        <w:rPr>
          <w:rFonts w:ascii="Book Antiqua" w:eastAsia="Calibri" w:hAnsi="Book Antiqua" w:cs="Times New Roman"/>
          <w:color w:val="1F3864" w:themeColor="accent1" w:themeShade="80"/>
          <w:sz w:val="24"/>
          <w:szCs w:val="24"/>
        </w:rPr>
      </w:pPr>
    </w:p>
    <w:p w14:paraId="2DD2F280" w14:textId="4B67E069" w:rsidR="003A254A" w:rsidRPr="00842A16" w:rsidRDefault="00E6417E" w:rsidP="00B2295B">
      <w:pPr>
        <w:jc w:val="center"/>
        <w:rPr>
          <w:rFonts w:ascii="Book Antiqua" w:eastAsia="Calibri" w:hAnsi="Book Antiqua" w:cs="Times New Roman"/>
          <w:b/>
          <w:bCs/>
          <w:color w:val="1F3864" w:themeColor="accent1" w:themeShade="80"/>
          <w:sz w:val="24"/>
          <w:szCs w:val="24"/>
        </w:rPr>
      </w:pPr>
      <w:r w:rsidRPr="00842A16">
        <w:rPr>
          <w:rFonts w:ascii="Book Antiqua" w:eastAsia="Calibri" w:hAnsi="Book Antiqua" w:cs="Times New Roman"/>
          <w:b/>
          <w:bCs/>
          <w:color w:val="1F3864" w:themeColor="accent1" w:themeShade="80"/>
          <w:sz w:val="24"/>
          <w:szCs w:val="24"/>
        </w:rPr>
        <w:t>Edo State Public Procurement Agency</w:t>
      </w:r>
    </w:p>
    <w:p w14:paraId="72675713" w14:textId="70399240" w:rsidR="00307723" w:rsidRPr="00842A16" w:rsidRDefault="00376D75" w:rsidP="00E86B68">
      <w:pPr>
        <w:jc w:val="both"/>
        <w:rPr>
          <w:rFonts w:ascii="Book Antiqua" w:eastAsia="Calibri" w:hAnsi="Book Antiqua" w:cs="Times New Roman"/>
          <w:color w:val="1F3864" w:themeColor="accent1" w:themeShade="80"/>
          <w:sz w:val="24"/>
          <w:szCs w:val="24"/>
        </w:rPr>
      </w:pPr>
      <w:r w:rsidRPr="00842A16">
        <w:rPr>
          <w:rFonts w:ascii="Book Antiqua" w:eastAsia="Calibri" w:hAnsi="Book Antiqua" w:cs="Times New Roman"/>
          <w:color w:val="1F3864" w:themeColor="accent1" w:themeShade="80"/>
          <w:sz w:val="24"/>
          <w:szCs w:val="24"/>
        </w:rPr>
        <w:t>The Edo State Public Procurement agency was</w:t>
      </w:r>
      <w:r w:rsidR="00097A4F" w:rsidRPr="00842A16">
        <w:rPr>
          <w:rFonts w:ascii="Book Antiqua" w:eastAsia="Calibri" w:hAnsi="Book Antiqua" w:cs="Times New Roman"/>
          <w:color w:val="1F3864" w:themeColor="accent1" w:themeShade="80"/>
          <w:sz w:val="24"/>
          <w:szCs w:val="24"/>
        </w:rPr>
        <w:t xml:space="preserve"> set up by the Public Procurement </w:t>
      </w:r>
      <w:r w:rsidR="002C37B6">
        <w:rPr>
          <w:rFonts w:ascii="Book Antiqua" w:eastAsia="Calibri" w:hAnsi="Book Antiqua" w:cs="Times New Roman"/>
          <w:color w:val="1F3864" w:themeColor="accent1" w:themeShade="80"/>
          <w:sz w:val="24"/>
          <w:szCs w:val="24"/>
        </w:rPr>
        <w:t>Law</w:t>
      </w:r>
      <w:r w:rsidR="00097A4F" w:rsidRPr="00842A16">
        <w:rPr>
          <w:rFonts w:ascii="Book Antiqua" w:eastAsia="Calibri" w:hAnsi="Book Antiqua" w:cs="Times New Roman"/>
          <w:color w:val="1F3864" w:themeColor="accent1" w:themeShade="80"/>
          <w:sz w:val="24"/>
          <w:szCs w:val="24"/>
        </w:rPr>
        <w:t xml:space="preserve"> that was passed by the Edo State House of Assembly in 2012, but effectively </w:t>
      </w:r>
      <w:r w:rsidR="002C37B6">
        <w:rPr>
          <w:rFonts w:ascii="Book Antiqua" w:eastAsia="Calibri" w:hAnsi="Book Antiqua" w:cs="Times New Roman"/>
          <w:color w:val="1F3864" w:themeColor="accent1" w:themeShade="80"/>
          <w:sz w:val="24"/>
          <w:szCs w:val="24"/>
        </w:rPr>
        <w:t>commenced</w:t>
      </w:r>
      <w:r w:rsidR="00097A4F" w:rsidRPr="00842A16">
        <w:rPr>
          <w:rFonts w:ascii="Book Antiqua" w:eastAsia="Calibri" w:hAnsi="Book Antiqua" w:cs="Times New Roman"/>
          <w:color w:val="1F3864" w:themeColor="accent1" w:themeShade="80"/>
          <w:sz w:val="24"/>
          <w:szCs w:val="24"/>
        </w:rPr>
        <w:t xml:space="preserve"> operations in 2014. Its affairs are directed by </w:t>
      </w:r>
      <w:r w:rsidR="00097A4F" w:rsidRPr="00DB1F0D">
        <w:rPr>
          <w:rFonts w:ascii="Book Antiqua" w:eastAsia="Calibri" w:hAnsi="Book Antiqua" w:cs="Times New Roman"/>
          <w:color w:val="1F3864" w:themeColor="accent1" w:themeShade="80"/>
          <w:sz w:val="24"/>
          <w:szCs w:val="24"/>
        </w:rPr>
        <w:t xml:space="preserve">a </w:t>
      </w:r>
      <w:r w:rsidR="00E86B68" w:rsidRPr="00DB1F0D">
        <w:rPr>
          <w:rFonts w:ascii="Book Antiqua" w:eastAsia="Calibri" w:hAnsi="Book Antiqua" w:cs="Times New Roman"/>
          <w:color w:val="1F3864" w:themeColor="accent1" w:themeShade="80"/>
          <w:sz w:val="24"/>
          <w:szCs w:val="24"/>
        </w:rPr>
        <w:t xml:space="preserve">Governing Board comprising </w:t>
      </w:r>
      <w:r w:rsidR="009016DE" w:rsidRPr="00DB1F0D">
        <w:rPr>
          <w:rFonts w:ascii="Book Antiqua" w:eastAsia="Calibri" w:hAnsi="Book Antiqua" w:cs="Times New Roman"/>
          <w:color w:val="1F3864" w:themeColor="accent1" w:themeShade="80"/>
          <w:sz w:val="24"/>
          <w:szCs w:val="24"/>
        </w:rPr>
        <w:t xml:space="preserve">15 members in line with the provisions of Section 5 of the Public Procurement Law, 2020. including </w:t>
      </w:r>
      <w:r w:rsidR="00E86B68" w:rsidRPr="00DB1F0D">
        <w:rPr>
          <w:rFonts w:ascii="Book Antiqua" w:eastAsia="Calibri" w:hAnsi="Book Antiqua" w:cs="Times New Roman"/>
          <w:color w:val="1F3864" w:themeColor="accent1" w:themeShade="80"/>
          <w:sz w:val="24"/>
          <w:szCs w:val="24"/>
        </w:rPr>
        <w:t xml:space="preserve">the </w:t>
      </w:r>
      <w:r w:rsidR="004B555E" w:rsidRPr="00DB1F0D">
        <w:rPr>
          <w:rFonts w:ascii="Book Antiqua" w:eastAsia="Calibri" w:hAnsi="Book Antiqua" w:cs="Times New Roman"/>
          <w:color w:val="1F3864" w:themeColor="accent1" w:themeShade="80"/>
          <w:sz w:val="24"/>
          <w:szCs w:val="24"/>
        </w:rPr>
        <w:t xml:space="preserve">Chairperson (a retired Judicial Officer/retired Senior Public Servant), the Secretary to the Edo State Government, Head of Service, at least substantive Directors of the Ministries of Finance; Justice; Budget, Planning and Economic </w:t>
      </w:r>
      <w:r w:rsidR="009016DE" w:rsidRPr="00DB1F0D">
        <w:rPr>
          <w:rFonts w:ascii="Book Antiqua" w:eastAsia="Calibri" w:hAnsi="Book Antiqua" w:cs="Times New Roman"/>
          <w:color w:val="1F3864" w:themeColor="accent1" w:themeShade="80"/>
          <w:sz w:val="24"/>
          <w:szCs w:val="24"/>
        </w:rPr>
        <w:t>Development; Local Government and Community Affairs, Managing Director of the Edo State Public Procurement Agency</w:t>
      </w:r>
      <w:r w:rsidR="00745B5F" w:rsidRPr="00DB1F0D">
        <w:rPr>
          <w:rFonts w:ascii="Book Antiqua" w:eastAsia="Calibri" w:hAnsi="Book Antiqua" w:cs="Times New Roman"/>
          <w:color w:val="1F3864" w:themeColor="accent1" w:themeShade="80"/>
          <w:sz w:val="24"/>
          <w:szCs w:val="24"/>
        </w:rPr>
        <w:t>;</w:t>
      </w:r>
      <w:r w:rsidR="009016DE" w:rsidRPr="00DB1F0D">
        <w:rPr>
          <w:rFonts w:ascii="Book Antiqua" w:eastAsia="Calibri" w:hAnsi="Book Antiqua" w:cs="Times New Roman"/>
          <w:color w:val="1F3864" w:themeColor="accent1" w:themeShade="80"/>
          <w:sz w:val="24"/>
          <w:szCs w:val="24"/>
        </w:rPr>
        <w:t xml:space="preserve"> as well as representatives of </w:t>
      </w:r>
      <w:r w:rsidR="00745B5F" w:rsidRPr="00DB1F0D">
        <w:rPr>
          <w:rFonts w:ascii="Book Antiqua" w:eastAsia="Calibri" w:hAnsi="Book Antiqua" w:cs="Times New Roman"/>
          <w:color w:val="1F3864" w:themeColor="accent1" w:themeShade="80"/>
          <w:sz w:val="24"/>
          <w:szCs w:val="24"/>
        </w:rPr>
        <w:t xml:space="preserve">some professional bodies in Edo State to include the </w:t>
      </w:r>
      <w:r w:rsidR="009016DE" w:rsidRPr="00DB1F0D">
        <w:rPr>
          <w:rFonts w:ascii="Book Antiqua" w:eastAsia="Calibri" w:hAnsi="Book Antiqua" w:cs="Times New Roman"/>
          <w:color w:val="1F3864" w:themeColor="accent1" w:themeShade="80"/>
          <w:sz w:val="24"/>
          <w:szCs w:val="24"/>
        </w:rPr>
        <w:t>Chartered Institute of Purchasing and Supply Management of Nigeria (CIPSMN), Edo State Chambers of Commerce, Industry, Mines and Agriculture,</w:t>
      </w:r>
      <w:r w:rsidR="00745B5F" w:rsidRPr="00DB1F0D">
        <w:rPr>
          <w:rFonts w:ascii="Book Antiqua" w:eastAsia="Calibri" w:hAnsi="Book Antiqua" w:cs="Times New Roman"/>
          <w:color w:val="1F3864" w:themeColor="accent1" w:themeShade="80"/>
          <w:sz w:val="24"/>
          <w:szCs w:val="24"/>
        </w:rPr>
        <w:t xml:space="preserve"> the</w:t>
      </w:r>
      <w:r w:rsidR="009016DE" w:rsidRPr="00DB1F0D">
        <w:rPr>
          <w:rFonts w:ascii="Book Antiqua" w:eastAsia="Calibri" w:hAnsi="Book Antiqua" w:cs="Times New Roman"/>
          <w:color w:val="1F3864" w:themeColor="accent1" w:themeShade="80"/>
          <w:sz w:val="24"/>
          <w:szCs w:val="24"/>
        </w:rPr>
        <w:t xml:space="preserve"> Nigerian Society of Engineers</w:t>
      </w:r>
      <w:r w:rsidR="00745B5F" w:rsidRPr="00DB1F0D">
        <w:rPr>
          <w:rFonts w:ascii="Book Antiqua" w:eastAsia="Calibri" w:hAnsi="Book Antiqua" w:cs="Times New Roman"/>
          <w:color w:val="1F3864" w:themeColor="accent1" w:themeShade="80"/>
          <w:sz w:val="24"/>
          <w:szCs w:val="24"/>
        </w:rPr>
        <w:t xml:space="preserve">, Institute of Chartered Accountants of Nigeria or a professional accountancy body with similar standing, the Nigerian Bar Association and Civil Society </w:t>
      </w:r>
      <w:proofErr w:type="spellStart"/>
      <w:r w:rsidR="00745B5F" w:rsidRPr="00DB1F0D">
        <w:rPr>
          <w:rFonts w:ascii="Book Antiqua" w:eastAsia="Calibri" w:hAnsi="Book Antiqua" w:cs="Times New Roman"/>
          <w:color w:val="1F3864" w:themeColor="accent1" w:themeShade="80"/>
          <w:sz w:val="24"/>
          <w:szCs w:val="24"/>
        </w:rPr>
        <w:t>Organisations</w:t>
      </w:r>
      <w:proofErr w:type="spellEnd"/>
      <w:r w:rsidR="00745B5F" w:rsidRPr="00DB1F0D">
        <w:rPr>
          <w:rFonts w:ascii="Book Antiqua" w:eastAsia="Calibri" w:hAnsi="Book Antiqua" w:cs="Times New Roman"/>
          <w:color w:val="1F3864" w:themeColor="accent1" w:themeShade="80"/>
          <w:sz w:val="24"/>
          <w:szCs w:val="24"/>
        </w:rPr>
        <w:t>.</w:t>
      </w:r>
      <w:r w:rsidR="00E86B68" w:rsidRPr="00DB1F0D">
        <w:rPr>
          <w:rFonts w:ascii="Book Antiqua" w:eastAsia="Calibri" w:hAnsi="Book Antiqua" w:cs="Times New Roman"/>
          <w:color w:val="1F3864" w:themeColor="accent1" w:themeShade="80"/>
          <w:sz w:val="24"/>
          <w:szCs w:val="24"/>
        </w:rPr>
        <w:t xml:space="preserve"> </w:t>
      </w:r>
      <w:r w:rsidR="00A425BA" w:rsidRPr="00DB1F0D">
        <w:rPr>
          <w:rFonts w:ascii="Book Antiqua" w:eastAsia="Calibri" w:hAnsi="Book Antiqua" w:cs="Times New Roman"/>
          <w:color w:val="1F3864" w:themeColor="accent1" w:themeShade="80"/>
          <w:sz w:val="24"/>
          <w:szCs w:val="24"/>
        </w:rPr>
        <w:t xml:space="preserve"> In line with the provisions of the law, the Agency works on ensuing accountability</w:t>
      </w:r>
      <w:r w:rsidR="004F11D6" w:rsidRPr="00DB1F0D">
        <w:rPr>
          <w:rFonts w:ascii="Book Antiqua" w:eastAsia="Calibri" w:hAnsi="Book Antiqua" w:cs="Times New Roman"/>
          <w:color w:val="1F3864" w:themeColor="accent1" w:themeShade="80"/>
          <w:sz w:val="24"/>
          <w:szCs w:val="24"/>
        </w:rPr>
        <w:t xml:space="preserve"> and transparency in pu</w:t>
      </w:r>
      <w:r w:rsidR="004F11D6" w:rsidRPr="00842A16">
        <w:rPr>
          <w:rFonts w:ascii="Book Antiqua" w:eastAsia="Calibri" w:hAnsi="Book Antiqua" w:cs="Times New Roman"/>
          <w:color w:val="1F3864" w:themeColor="accent1" w:themeShade="80"/>
          <w:sz w:val="24"/>
          <w:szCs w:val="24"/>
        </w:rPr>
        <w:t>blic procurement, including setting fair pricing thresholds and standards for the procurement and disposal of public propert</w:t>
      </w:r>
      <w:r w:rsidR="00101A99" w:rsidRPr="00842A16">
        <w:rPr>
          <w:rFonts w:ascii="Book Antiqua" w:eastAsia="Calibri" w:hAnsi="Book Antiqua" w:cs="Times New Roman"/>
          <w:color w:val="1F3864" w:themeColor="accent1" w:themeShade="80"/>
          <w:sz w:val="24"/>
          <w:szCs w:val="24"/>
        </w:rPr>
        <w:t xml:space="preserve">ies. It </w:t>
      </w:r>
      <w:r w:rsidR="00DA639C" w:rsidRPr="00842A16">
        <w:rPr>
          <w:rFonts w:ascii="Book Antiqua" w:eastAsia="Calibri" w:hAnsi="Book Antiqua" w:cs="Times New Roman"/>
          <w:color w:val="1F3864" w:themeColor="accent1" w:themeShade="80"/>
          <w:sz w:val="24"/>
          <w:szCs w:val="24"/>
        </w:rPr>
        <w:t xml:space="preserve">is </w:t>
      </w:r>
      <w:r w:rsidR="00101A99" w:rsidRPr="00842A16">
        <w:rPr>
          <w:rFonts w:ascii="Book Antiqua" w:eastAsia="Calibri" w:hAnsi="Book Antiqua" w:cs="Times New Roman"/>
          <w:color w:val="1F3864" w:themeColor="accent1" w:themeShade="80"/>
          <w:sz w:val="24"/>
          <w:szCs w:val="24"/>
        </w:rPr>
        <w:t>also</w:t>
      </w:r>
      <w:r w:rsidR="00DA639C" w:rsidRPr="00842A16">
        <w:rPr>
          <w:rFonts w:ascii="Book Antiqua" w:eastAsia="Calibri" w:hAnsi="Book Antiqua" w:cs="Times New Roman"/>
          <w:color w:val="1F3864" w:themeColor="accent1" w:themeShade="80"/>
          <w:sz w:val="24"/>
          <w:szCs w:val="24"/>
        </w:rPr>
        <w:t xml:space="preserve"> charged with</w:t>
      </w:r>
      <w:r w:rsidR="00101A99" w:rsidRPr="00842A16">
        <w:rPr>
          <w:rFonts w:ascii="Book Antiqua" w:eastAsia="Calibri" w:hAnsi="Book Antiqua" w:cs="Times New Roman"/>
          <w:color w:val="1F3864" w:themeColor="accent1" w:themeShade="80"/>
          <w:sz w:val="24"/>
          <w:szCs w:val="24"/>
        </w:rPr>
        <w:t xml:space="preserve"> e</w:t>
      </w:r>
      <w:r w:rsidR="00C16FFA" w:rsidRPr="00842A16">
        <w:rPr>
          <w:rFonts w:ascii="Book Antiqua" w:eastAsia="Calibri" w:hAnsi="Book Antiqua" w:cs="Times New Roman"/>
          <w:color w:val="1F3864" w:themeColor="accent1" w:themeShade="80"/>
          <w:sz w:val="24"/>
          <w:szCs w:val="24"/>
        </w:rPr>
        <w:t>stablishing</w:t>
      </w:r>
      <w:r w:rsidR="00307723" w:rsidRPr="00842A16">
        <w:rPr>
          <w:rFonts w:ascii="Book Antiqua" w:eastAsia="Calibri" w:hAnsi="Book Antiqua" w:cs="Times New Roman"/>
          <w:color w:val="1F3864" w:themeColor="accent1" w:themeShade="80"/>
          <w:sz w:val="24"/>
          <w:szCs w:val="24"/>
        </w:rPr>
        <w:t xml:space="preserve"> and regulating</w:t>
      </w:r>
      <w:r w:rsidR="00101A99" w:rsidRPr="00842A16">
        <w:rPr>
          <w:rFonts w:ascii="Book Antiqua" w:eastAsia="Calibri" w:hAnsi="Book Antiqua" w:cs="Times New Roman"/>
          <w:color w:val="1F3864" w:themeColor="accent1" w:themeShade="80"/>
          <w:sz w:val="24"/>
          <w:szCs w:val="24"/>
        </w:rPr>
        <w:t xml:space="preserve"> fair</w:t>
      </w:r>
      <w:r w:rsidR="00DA639C" w:rsidRPr="00842A16">
        <w:rPr>
          <w:rFonts w:ascii="Book Antiqua" w:eastAsia="Calibri" w:hAnsi="Book Antiqua" w:cs="Times New Roman"/>
          <w:color w:val="1F3864" w:themeColor="accent1" w:themeShade="80"/>
          <w:sz w:val="24"/>
          <w:szCs w:val="24"/>
        </w:rPr>
        <w:t xml:space="preserve"> competitive processes to include small and medium scale ente</w:t>
      </w:r>
      <w:r w:rsidR="00C16FFA" w:rsidRPr="00842A16">
        <w:rPr>
          <w:rFonts w:ascii="Book Antiqua" w:eastAsia="Calibri" w:hAnsi="Book Antiqua" w:cs="Times New Roman"/>
          <w:color w:val="1F3864" w:themeColor="accent1" w:themeShade="80"/>
          <w:sz w:val="24"/>
          <w:szCs w:val="24"/>
        </w:rPr>
        <w:t>r</w:t>
      </w:r>
      <w:r w:rsidR="00DA639C" w:rsidRPr="00842A16">
        <w:rPr>
          <w:rFonts w:ascii="Book Antiqua" w:eastAsia="Calibri" w:hAnsi="Book Antiqua" w:cs="Times New Roman"/>
          <w:color w:val="1F3864" w:themeColor="accent1" w:themeShade="80"/>
          <w:sz w:val="24"/>
          <w:szCs w:val="24"/>
        </w:rPr>
        <w:t>prises</w:t>
      </w:r>
      <w:r w:rsidR="00C16FFA" w:rsidRPr="00842A16">
        <w:rPr>
          <w:rFonts w:ascii="Book Antiqua" w:eastAsia="Calibri" w:hAnsi="Book Antiqua" w:cs="Times New Roman"/>
          <w:color w:val="1F3864" w:themeColor="accent1" w:themeShade="80"/>
          <w:sz w:val="24"/>
          <w:szCs w:val="24"/>
        </w:rPr>
        <w:t xml:space="preserve"> </w:t>
      </w:r>
      <w:r w:rsidR="00307723" w:rsidRPr="00842A16">
        <w:rPr>
          <w:rFonts w:ascii="Book Antiqua" w:eastAsia="Calibri" w:hAnsi="Book Antiqua" w:cs="Times New Roman"/>
          <w:color w:val="1F3864" w:themeColor="accent1" w:themeShade="80"/>
          <w:sz w:val="24"/>
          <w:szCs w:val="24"/>
        </w:rPr>
        <w:t>while ensuring value-for-money as well as effective and efficient adjudicatory processes for the resolution of procurement related disputes.</w:t>
      </w:r>
    </w:p>
    <w:p w14:paraId="141370BF" w14:textId="4DA7DB7F" w:rsidR="00E86B68" w:rsidRPr="00842A16" w:rsidRDefault="00C16FFA" w:rsidP="00E86B68">
      <w:pPr>
        <w:jc w:val="both"/>
        <w:rPr>
          <w:rFonts w:ascii="Book Antiqua" w:eastAsia="Calibri" w:hAnsi="Book Antiqua" w:cs="Times New Roman"/>
          <w:color w:val="1F3864" w:themeColor="accent1" w:themeShade="80"/>
          <w:sz w:val="24"/>
          <w:szCs w:val="24"/>
        </w:rPr>
      </w:pPr>
      <w:r w:rsidRPr="00842A16">
        <w:rPr>
          <w:rFonts w:ascii="Book Antiqua" w:eastAsia="Calibri" w:hAnsi="Book Antiqua" w:cs="Times New Roman"/>
          <w:color w:val="1F3864" w:themeColor="accent1" w:themeShade="80"/>
          <w:sz w:val="24"/>
          <w:szCs w:val="24"/>
        </w:rPr>
        <w:lastRenderedPageBreak/>
        <w:t xml:space="preserve"> </w:t>
      </w:r>
      <w:r w:rsidR="00513FF3" w:rsidRPr="00842A16">
        <w:rPr>
          <w:rFonts w:ascii="Book Antiqua" w:eastAsia="Calibri" w:hAnsi="Book Antiqua" w:cs="Times New Roman"/>
          <w:color w:val="1F3864" w:themeColor="accent1" w:themeShade="80"/>
          <w:sz w:val="24"/>
          <w:szCs w:val="24"/>
        </w:rPr>
        <w:t xml:space="preserve">The organization is currently being led by the Managing Director and is  </w:t>
      </w:r>
      <w:r w:rsidR="00BF0E88" w:rsidRPr="00842A16">
        <w:rPr>
          <w:rFonts w:ascii="Book Antiqua" w:eastAsia="Calibri" w:hAnsi="Book Antiqua" w:cs="Times New Roman"/>
          <w:color w:val="1F3864" w:themeColor="accent1" w:themeShade="80"/>
          <w:sz w:val="24"/>
          <w:szCs w:val="24"/>
        </w:rPr>
        <w:t xml:space="preserve">structured into </w:t>
      </w:r>
      <w:r w:rsidR="00BC7273">
        <w:rPr>
          <w:rFonts w:ascii="Book Antiqua" w:eastAsia="Calibri" w:hAnsi="Book Antiqua" w:cs="Times New Roman"/>
          <w:color w:val="1F3864" w:themeColor="accent1" w:themeShade="80"/>
          <w:sz w:val="24"/>
          <w:szCs w:val="24"/>
        </w:rPr>
        <w:t>a</w:t>
      </w:r>
      <w:r w:rsidR="00BF0E88" w:rsidRPr="00842A16">
        <w:rPr>
          <w:rFonts w:ascii="Book Antiqua" w:eastAsia="Calibri" w:hAnsi="Book Antiqua" w:cs="Times New Roman"/>
          <w:color w:val="1F3864" w:themeColor="accent1" w:themeShade="80"/>
          <w:sz w:val="24"/>
          <w:szCs w:val="24"/>
        </w:rPr>
        <w:t xml:space="preserve"> </w:t>
      </w:r>
      <w:r w:rsidR="008D5828">
        <w:rPr>
          <w:rFonts w:ascii="Book Antiqua" w:eastAsia="Calibri" w:hAnsi="Book Antiqua" w:cs="Times New Roman"/>
          <w:color w:val="1F3864" w:themeColor="accent1" w:themeShade="80"/>
          <w:sz w:val="24"/>
          <w:szCs w:val="24"/>
        </w:rPr>
        <w:t>S</w:t>
      </w:r>
      <w:r w:rsidR="00D3326A">
        <w:rPr>
          <w:rFonts w:ascii="Book Antiqua" w:eastAsia="Calibri" w:hAnsi="Book Antiqua" w:cs="Times New Roman"/>
          <w:color w:val="1F3864" w:themeColor="accent1" w:themeShade="80"/>
          <w:sz w:val="24"/>
          <w:szCs w:val="24"/>
        </w:rPr>
        <w:t>uite</w:t>
      </w:r>
      <w:r w:rsidR="00BC7273">
        <w:rPr>
          <w:rFonts w:ascii="Book Antiqua" w:eastAsia="Calibri" w:hAnsi="Book Antiqua" w:cs="Times New Roman"/>
          <w:color w:val="1F3864" w:themeColor="accent1" w:themeShade="80"/>
          <w:sz w:val="24"/>
          <w:szCs w:val="24"/>
        </w:rPr>
        <w:t xml:space="preserve"> and 5 Departments</w:t>
      </w:r>
      <w:r w:rsidR="00BF0E88" w:rsidRPr="00842A16">
        <w:rPr>
          <w:rFonts w:ascii="Book Antiqua" w:eastAsia="Calibri" w:hAnsi="Book Antiqua" w:cs="Times New Roman"/>
          <w:color w:val="1F3864" w:themeColor="accent1" w:themeShade="80"/>
          <w:sz w:val="24"/>
          <w:szCs w:val="24"/>
        </w:rPr>
        <w:t xml:space="preserve"> including the</w:t>
      </w:r>
      <w:r w:rsidR="00994F03" w:rsidRPr="00842A16">
        <w:rPr>
          <w:rFonts w:ascii="Book Antiqua" w:eastAsia="Calibri" w:hAnsi="Book Antiqua" w:cs="Times New Roman"/>
          <w:color w:val="1F3864" w:themeColor="accent1" w:themeShade="80"/>
          <w:sz w:val="24"/>
          <w:szCs w:val="24"/>
        </w:rPr>
        <w:t>:</w:t>
      </w:r>
      <w:r w:rsidR="00BF0E88" w:rsidRPr="00842A16">
        <w:rPr>
          <w:rFonts w:ascii="Book Antiqua" w:eastAsia="Calibri" w:hAnsi="Book Antiqua" w:cs="Times New Roman"/>
          <w:color w:val="1F3864" w:themeColor="accent1" w:themeShade="80"/>
          <w:sz w:val="24"/>
          <w:szCs w:val="24"/>
        </w:rPr>
        <w:t xml:space="preserve"> Share Services </w:t>
      </w:r>
      <w:r w:rsidR="00D3326A">
        <w:rPr>
          <w:rFonts w:ascii="Book Antiqua" w:eastAsia="Calibri" w:hAnsi="Book Antiqua" w:cs="Times New Roman"/>
          <w:color w:val="1F3864" w:themeColor="accent1" w:themeShade="80"/>
          <w:sz w:val="24"/>
          <w:szCs w:val="24"/>
        </w:rPr>
        <w:t>Suite</w:t>
      </w:r>
      <w:r w:rsidR="00C714DA" w:rsidRPr="00842A16">
        <w:rPr>
          <w:rFonts w:ascii="Book Antiqua" w:eastAsia="Calibri" w:hAnsi="Book Antiqua" w:cs="Times New Roman"/>
          <w:color w:val="1F3864" w:themeColor="accent1" w:themeShade="80"/>
          <w:sz w:val="24"/>
          <w:szCs w:val="24"/>
        </w:rPr>
        <w:t xml:space="preserve"> </w:t>
      </w:r>
      <w:r w:rsidR="00BF0E88" w:rsidRPr="00842A16">
        <w:rPr>
          <w:rFonts w:ascii="Book Antiqua" w:eastAsia="Calibri" w:hAnsi="Book Antiqua" w:cs="Times New Roman"/>
          <w:color w:val="1F3864" w:themeColor="accent1" w:themeShade="80"/>
          <w:sz w:val="24"/>
          <w:szCs w:val="24"/>
        </w:rPr>
        <w:t>(comprising the Administration,  Finance,  ICT</w:t>
      </w:r>
      <w:r w:rsidR="00994F03" w:rsidRPr="00842A16">
        <w:rPr>
          <w:rFonts w:ascii="Book Antiqua" w:eastAsia="Calibri" w:hAnsi="Book Antiqua" w:cs="Times New Roman"/>
          <w:color w:val="1F3864" w:themeColor="accent1" w:themeShade="80"/>
          <w:sz w:val="24"/>
          <w:szCs w:val="24"/>
        </w:rPr>
        <w:t xml:space="preserve"> and Legal </w:t>
      </w:r>
      <w:r w:rsidR="00D3326A">
        <w:rPr>
          <w:rFonts w:ascii="Book Antiqua" w:eastAsia="Calibri" w:hAnsi="Book Antiqua" w:cs="Times New Roman"/>
          <w:color w:val="1F3864" w:themeColor="accent1" w:themeShade="80"/>
          <w:sz w:val="24"/>
          <w:szCs w:val="24"/>
        </w:rPr>
        <w:t>Departments</w:t>
      </w:r>
      <w:r w:rsidR="00BF0E88" w:rsidRPr="00842A16">
        <w:rPr>
          <w:rFonts w:ascii="Book Antiqua" w:eastAsia="Calibri" w:hAnsi="Book Antiqua" w:cs="Times New Roman"/>
          <w:color w:val="1F3864" w:themeColor="accent1" w:themeShade="80"/>
          <w:sz w:val="24"/>
          <w:szCs w:val="24"/>
        </w:rPr>
        <w:t>)</w:t>
      </w:r>
      <w:r w:rsidR="00994F03" w:rsidRPr="00842A16">
        <w:rPr>
          <w:rFonts w:ascii="Book Antiqua" w:eastAsia="Calibri" w:hAnsi="Book Antiqua" w:cs="Times New Roman"/>
          <w:color w:val="1F3864" w:themeColor="accent1" w:themeShade="80"/>
          <w:sz w:val="24"/>
          <w:szCs w:val="24"/>
        </w:rPr>
        <w:t xml:space="preserve">; Policy, Planning and Statistics </w:t>
      </w:r>
      <w:r w:rsidR="00BC7273">
        <w:rPr>
          <w:rFonts w:ascii="Book Antiqua" w:eastAsia="Calibri" w:hAnsi="Book Antiqua" w:cs="Times New Roman"/>
          <w:color w:val="1F3864" w:themeColor="accent1" w:themeShade="80"/>
          <w:sz w:val="24"/>
          <w:szCs w:val="24"/>
        </w:rPr>
        <w:t>Department</w:t>
      </w:r>
      <w:r w:rsidR="008D5828">
        <w:rPr>
          <w:rFonts w:ascii="Book Antiqua" w:eastAsia="Calibri" w:hAnsi="Book Antiqua" w:cs="Times New Roman"/>
          <w:color w:val="1F3864" w:themeColor="accent1" w:themeShade="80"/>
          <w:sz w:val="24"/>
          <w:szCs w:val="24"/>
        </w:rPr>
        <w:t xml:space="preserve"> </w:t>
      </w:r>
      <w:r w:rsidR="00994F03" w:rsidRPr="00842A16">
        <w:rPr>
          <w:rFonts w:ascii="Book Antiqua" w:eastAsia="Calibri" w:hAnsi="Book Antiqua" w:cs="Times New Roman"/>
          <w:color w:val="1F3864" w:themeColor="accent1" w:themeShade="80"/>
          <w:sz w:val="24"/>
          <w:szCs w:val="24"/>
        </w:rPr>
        <w:t xml:space="preserve">(comprising the Policy Formulation, Planning  &amp;  Statistics, and the Performance Reporting </w:t>
      </w:r>
      <w:r w:rsidR="008D5828">
        <w:rPr>
          <w:rFonts w:ascii="Book Antiqua" w:eastAsia="Calibri" w:hAnsi="Book Antiqua" w:cs="Times New Roman"/>
          <w:color w:val="1F3864" w:themeColor="accent1" w:themeShade="80"/>
          <w:sz w:val="24"/>
          <w:szCs w:val="24"/>
        </w:rPr>
        <w:t>Unit</w:t>
      </w:r>
      <w:r w:rsidR="00D3326A">
        <w:rPr>
          <w:rFonts w:ascii="Book Antiqua" w:eastAsia="Calibri" w:hAnsi="Book Antiqua" w:cs="Times New Roman"/>
          <w:color w:val="1F3864" w:themeColor="accent1" w:themeShade="80"/>
          <w:sz w:val="24"/>
          <w:szCs w:val="24"/>
        </w:rPr>
        <w:t>s</w:t>
      </w:r>
      <w:r w:rsidR="00994F03" w:rsidRPr="00842A16">
        <w:rPr>
          <w:rFonts w:ascii="Book Antiqua" w:eastAsia="Calibri" w:hAnsi="Book Antiqua" w:cs="Times New Roman"/>
          <w:color w:val="1F3864" w:themeColor="accent1" w:themeShade="80"/>
          <w:sz w:val="24"/>
          <w:szCs w:val="24"/>
        </w:rPr>
        <w:t>); Procurement Audit</w:t>
      </w:r>
      <w:r w:rsidR="008D5828">
        <w:rPr>
          <w:rFonts w:ascii="Book Antiqua" w:eastAsia="Calibri" w:hAnsi="Book Antiqua" w:cs="Times New Roman"/>
          <w:color w:val="1F3864" w:themeColor="accent1" w:themeShade="80"/>
          <w:sz w:val="24"/>
          <w:szCs w:val="24"/>
        </w:rPr>
        <w:t xml:space="preserve"> Department</w:t>
      </w:r>
      <w:r w:rsidR="00994F03" w:rsidRPr="00842A16">
        <w:rPr>
          <w:rFonts w:ascii="Book Antiqua" w:eastAsia="Calibri" w:hAnsi="Book Antiqua" w:cs="Times New Roman"/>
          <w:color w:val="1F3864" w:themeColor="accent1" w:themeShade="80"/>
          <w:sz w:val="24"/>
          <w:szCs w:val="24"/>
        </w:rPr>
        <w:t xml:space="preserve"> (comprising the General</w:t>
      </w:r>
      <w:r w:rsidR="006A00C8" w:rsidRPr="00842A16">
        <w:rPr>
          <w:rFonts w:ascii="Book Antiqua" w:eastAsia="Calibri" w:hAnsi="Book Antiqua" w:cs="Times New Roman"/>
          <w:color w:val="1F3864" w:themeColor="accent1" w:themeShade="80"/>
          <w:sz w:val="24"/>
          <w:szCs w:val="24"/>
        </w:rPr>
        <w:t xml:space="preserve"> Procurement Audit and Special Investigation Unit</w:t>
      </w:r>
      <w:r w:rsidR="003D3797" w:rsidRPr="00842A16">
        <w:rPr>
          <w:rFonts w:ascii="Book Antiqua" w:eastAsia="Calibri" w:hAnsi="Book Antiqua" w:cs="Times New Roman"/>
          <w:color w:val="1F3864" w:themeColor="accent1" w:themeShade="80"/>
          <w:sz w:val="24"/>
          <w:szCs w:val="24"/>
        </w:rPr>
        <w:t>s</w:t>
      </w:r>
      <w:r w:rsidR="006A00C8" w:rsidRPr="00842A16">
        <w:rPr>
          <w:rFonts w:ascii="Book Antiqua" w:eastAsia="Calibri" w:hAnsi="Book Antiqua" w:cs="Times New Roman"/>
          <w:color w:val="1F3864" w:themeColor="accent1" w:themeShade="80"/>
          <w:sz w:val="24"/>
          <w:szCs w:val="24"/>
        </w:rPr>
        <w:t>); Enforcement, Comp</w:t>
      </w:r>
      <w:r w:rsidR="003D3797" w:rsidRPr="00842A16">
        <w:rPr>
          <w:rFonts w:ascii="Book Antiqua" w:eastAsia="Calibri" w:hAnsi="Book Antiqua" w:cs="Times New Roman"/>
          <w:color w:val="1F3864" w:themeColor="accent1" w:themeShade="80"/>
          <w:sz w:val="24"/>
          <w:szCs w:val="24"/>
        </w:rPr>
        <w:t>lia</w:t>
      </w:r>
      <w:r w:rsidR="006A00C8" w:rsidRPr="00842A16">
        <w:rPr>
          <w:rFonts w:ascii="Book Antiqua" w:eastAsia="Calibri" w:hAnsi="Book Antiqua" w:cs="Times New Roman"/>
          <w:color w:val="1F3864" w:themeColor="accent1" w:themeShade="80"/>
          <w:sz w:val="24"/>
          <w:szCs w:val="24"/>
        </w:rPr>
        <w:t xml:space="preserve">nce </w:t>
      </w:r>
      <w:r w:rsidR="003D3797" w:rsidRPr="00842A16">
        <w:rPr>
          <w:rFonts w:ascii="Book Antiqua" w:eastAsia="Calibri" w:hAnsi="Book Antiqua" w:cs="Times New Roman"/>
          <w:color w:val="1F3864" w:themeColor="accent1" w:themeShade="80"/>
          <w:sz w:val="24"/>
          <w:szCs w:val="24"/>
        </w:rPr>
        <w:t>&amp; Monitoring</w:t>
      </w:r>
      <w:r w:rsidR="008D5828">
        <w:rPr>
          <w:rFonts w:ascii="Book Antiqua" w:eastAsia="Calibri" w:hAnsi="Book Antiqua" w:cs="Times New Roman"/>
          <w:color w:val="1F3864" w:themeColor="accent1" w:themeShade="80"/>
          <w:sz w:val="24"/>
          <w:szCs w:val="24"/>
        </w:rPr>
        <w:t xml:space="preserve"> Department</w:t>
      </w:r>
      <w:r w:rsidR="003D3797" w:rsidRPr="00842A16">
        <w:rPr>
          <w:rFonts w:ascii="Book Antiqua" w:eastAsia="Calibri" w:hAnsi="Book Antiqua" w:cs="Times New Roman"/>
          <w:color w:val="1F3864" w:themeColor="accent1" w:themeShade="80"/>
          <w:sz w:val="24"/>
          <w:szCs w:val="24"/>
        </w:rPr>
        <w:t xml:space="preserve"> (comprising the Enforcement &amp; Compliance and Monitoring Units); Research and Business Intelligence </w:t>
      </w:r>
      <w:r w:rsidR="008D5828">
        <w:rPr>
          <w:rFonts w:ascii="Book Antiqua" w:eastAsia="Calibri" w:hAnsi="Book Antiqua" w:cs="Times New Roman"/>
          <w:color w:val="1F3864" w:themeColor="accent1" w:themeShade="80"/>
          <w:sz w:val="24"/>
          <w:szCs w:val="24"/>
        </w:rPr>
        <w:t xml:space="preserve">Department </w:t>
      </w:r>
      <w:r w:rsidR="003D3797" w:rsidRPr="00842A16">
        <w:rPr>
          <w:rFonts w:ascii="Book Antiqua" w:eastAsia="Calibri" w:hAnsi="Book Antiqua" w:cs="Times New Roman"/>
          <w:color w:val="1F3864" w:themeColor="accent1" w:themeShade="80"/>
          <w:sz w:val="24"/>
          <w:szCs w:val="24"/>
        </w:rPr>
        <w:t>(Comprising the</w:t>
      </w:r>
      <w:r w:rsidR="008D5828">
        <w:rPr>
          <w:rFonts w:ascii="Book Antiqua" w:eastAsia="Calibri" w:hAnsi="Book Antiqua" w:cs="Times New Roman"/>
          <w:color w:val="1F3864" w:themeColor="accent1" w:themeShade="80"/>
          <w:sz w:val="24"/>
          <w:szCs w:val="24"/>
        </w:rPr>
        <w:t xml:space="preserve"> </w:t>
      </w:r>
      <w:r w:rsidR="003D3797" w:rsidRPr="00842A16">
        <w:rPr>
          <w:rFonts w:ascii="Book Antiqua" w:eastAsia="Calibri" w:hAnsi="Book Antiqua" w:cs="Times New Roman"/>
          <w:color w:val="1F3864" w:themeColor="accent1" w:themeShade="80"/>
          <w:sz w:val="24"/>
          <w:szCs w:val="24"/>
        </w:rPr>
        <w:t xml:space="preserve">Price Intelligence and Cost Analysis Units); and E Procurement </w:t>
      </w:r>
      <w:r w:rsidR="008D5828">
        <w:rPr>
          <w:rFonts w:ascii="Book Antiqua" w:eastAsia="Calibri" w:hAnsi="Book Antiqua" w:cs="Times New Roman"/>
          <w:color w:val="1F3864" w:themeColor="accent1" w:themeShade="80"/>
          <w:sz w:val="24"/>
          <w:szCs w:val="24"/>
        </w:rPr>
        <w:t xml:space="preserve">Department </w:t>
      </w:r>
      <w:r w:rsidR="003D3797" w:rsidRPr="00842A16">
        <w:rPr>
          <w:rFonts w:ascii="Book Antiqua" w:eastAsia="Calibri" w:hAnsi="Book Antiqua" w:cs="Times New Roman"/>
          <w:color w:val="1F3864" w:themeColor="accent1" w:themeShade="80"/>
          <w:sz w:val="24"/>
          <w:szCs w:val="24"/>
        </w:rPr>
        <w:t>(comprising the Contract</w:t>
      </w:r>
      <w:r w:rsidR="00D3326A">
        <w:rPr>
          <w:rFonts w:ascii="Book Antiqua" w:eastAsia="Calibri" w:hAnsi="Book Antiqua" w:cs="Times New Roman"/>
          <w:color w:val="1F3864" w:themeColor="accent1" w:themeShade="80"/>
          <w:sz w:val="24"/>
          <w:szCs w:val="24"/>
        </w:rPr>
        <w:t>or</w:t>
      </w:r>
      <w:r w:rsidR="003D3797" w:rsidRPr="00842A16">
        <w:rPr>
          <w:rFonts w:ascii="Book Antiqua" w:eastAsia="Calibri" w:hAnsi="Book Antiqua" w:cs="Times New Roman"/>
          <w:color w:val="1F3864" w:themeColor="accent1" w:themeShade="80"/>
          <w:sz w:val="24"/>
          <w:szCs w:val="24"/>
        </w:rPr>
        <w:t xml:space="preserve"> Registration, </w:t>
      </w:r>
      <w:r w:rsidR="003D3797" w:rsidRPr="008D5828">
        <w:rPr>
          <w:rFonts w:ascii="Book Antiqua" w:eastAsia="Calibri" w:hAnsi="Book Antiqua" w:cs="Times New Roman"/>
          <w:color w:val="1F3864" w:themeColor="accent1" w:themeShade="80"/>
          <w:sz w:val="24"/>
          <w:szCs w:val="24"/>
        </w:rPr>
        <w:t xml:space="preserve">Edo State Procurement Management System, Open Contracting Data Standards and the Edo Monitor Me </w:t>
      </w:r>
      <w:r w:rsidR="008D5828">
        <w:rPr>
          <w:rFonts w:ascii="Book Antiqua" w:eastAsia="Calibri" w:hAnsi="Book Antiqua" w:cs="Times New Roman"/>
          <w:color w:val="1F3864" w:themeColor="accent1" w:themeShade="80"/>
          <w:sz w:val="24"/>
          <w:szCs w:val="24"/>
        </w:rPr>
        <w:t>Unit</w:t>
      </w:r>
      <w:r w:rsidR="00D3326A" w:rsidRPr="008D5828">
        <w:rPr>
          <w:rFonts w:ascii="Book Antiqua" w:eastAsia="Calibri" w:hAnsi="Book Antiqua" w:cs="Times New Roman"/>
          <w:color w:val="1F3864" w:themeColor="accent1" w:themeShade="80"/>
          <w:sz w:val="24"/>
          <w:szCs w:val="24"/>
        </w:rPr>
        <w:t>s</w:t>
      </w:r>
      <w:r w:rsidR="003D3797" w:rsidRPr="008D5828">
        <w:rPr>
          <w:rFonts w:ascii="Book Antiqua" w:eastAsia="Calibri" w:hAnsi="Book Antiqua" w:cs="Times New Roman"/>
          <w:color w:val="1F3864" w:themeColor="accent1" w:themeShade="80"/>
          <w:sz w:val="24"/>
          <w:szCs w:val="24"/>
        </w:rPr>
        <w:t>).</w:t>
      </w:r>
    </w:p>
    <w:p w14:paraId="7DFCDD97" w14:textId="77777777" w:rsidR="0008519B" w:rsidRDefault="0008519B" w:rsidP="003A254A">
      <w:pPr>
        <w:jc w:val="both"/>
        <w:rPr>
          <w:rFonts w:ascii="Book Antiqua" w:eastAsia="Calibri" w:hAnsi="Book Antiqua" w:cs="Times New Roman"/>
          <w:color w:val="1F3864" w:themeColor="accent1" w:themeShade="80"/>
          <w:sz w:val="24"/>
          <w:szCs w:val="24"/>
        </w:rPr>
      </w:pPr>
    </w:p>
    <w:p w14:paraId="20100D21" w14:textId="3B9C8090" w:rsidR="00376D75" w:rsidRPr="00842A16" w:rsidRDefault="00513FF3" w:rsidP="003A254A">
      <w:pPr>
        <w:jc w:val="both"/>
        <w:rPr>
          <w:rFonts w:ascii="Book Antiqua" w:eastAsia="Calibri" w:hAnsi="Book Antiqua" w:cs="Times New Roman"/>
          <w:color w:val="1F3864" w:themeColor="accent1" w:themeShade="80"/>
          <w:sz w:val="24"/>
          <w:szCs w:val="24"/>
        </w:rPr>
      </w:pPr>
      <w:r w:rsidRPr="00842A16">
        <w:rPr>
          <w:rFonts w:ascii="Book Antiqua" w:hAnsi="Book Antiqua"/>
          <w:noProof/>
          <w:color w:val="1F3864" w:themeColor="accent1" w:themeShade="80"/>
          <w:sz w:val="24"/>
          <w:szCs w:val="24"/>
        </w:rPr>
        <w:drawing>
          <wp:inline distT="0" distB="0" distL="0" distR="0" wp14:anchorId="42A24B17" wp14:editId="4EC12545">
            <wp:extent cx="6344023" cy="357054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364751" cy="3582213"/>
                    </a:xfrm>
                    <a:prstGeom prst="rect">
                      <a:avLst/>
                    </a:prstGeom>
                    <a:noFill/>
                    <a:ln>
                      <a:noFill/>
                    </a:ln>
                  </pic:spPr>
                </pic:pic>
              </a:graphicData>
            </a:graphic>
          </wp:inline>
        </w:drawing>
      </w:r>
    </w:p>
    <w:p w14:paraId="10CDDD38" w14:textId="77777777" w:rsidR="008657BA" w:rsidRPr="00842A16" w:rsidRDefault="008657BA" w:rsidP="003A254A">
      <w:pPr>
        <w:jc w:val="both"/>
        <w:rPr>
          <w:rFonts w:ascii="Book Antiqua" w:eastAsia="Calibri" w:hAnsi="Book Antiqua" w:cs="Times New Roman"/>
          <w:bCs/>
          <w:color w:val="1F3864" w:themeColor="accent1" w:themeShade="80"/>
          <w:sz w:val="24"/>
          <w:szCs w:val="24"/>
        </w:rPr>
      </w:pPr>
    </w:p>
    <w:p w14:paraId="10ADE6E1" w14:textId="1A2ECF27" w:rsidR="003A254A" w:rsidRPr="00842A16" w:rsidRDefault="002D5023"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Fig 1: Organogram of the EDPPA as developed by the organization.</w:t>
      </w:r>
    </w:p>
    <w:p w14:paraId="7690DF1D" w14:textId="39FDA0EA" w:rsidR="00602E08" w:rsidRPr="00842A16" w:rsidRDefault="003D3797"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 xml:space="preserve">The </w:t>
      </w:r>
      <w:r w:rsidR="00E8659E" w:rsidRPr="00842A16">
        <w:rPr>
          <w:rFonts w:ascii="Book Antiqua" w:eastAsia="Calibri" w:hAnsi="Book Antiqua" w:cs="Times New Roman"/>
          <w:bCs/>
          <w:color w:val="1F3864" w:themeColor="accent1" w:themeShade="80"/>
          <w:sz w:val="24"/>
          <w:szCs w:val="24"/>
        </w:rPr>
        <w:t xml:space="preserve">agency currently operates </w:t>
      </w:r>
      <w:r w:rsidR="00D3326A">
        <w:rPr>
          <w:rFonts w:ascii="Book Antiqua" w:eastAsia="Calibri" w:hAnsi="Book Antiqua" w:cs="Times New Roman"/>
          <w:bCs/>
          <w:color w:val="1F3864" w:themeColor="accent1" w:themeShade="80"/>
          <w:sz w:val="24"/>
          <w:szCs w:val="24"/>
        </w:rPr>
        <w:t>under</w:t>
      </w:r>
      <w:r w:rsidR="00E8659E" w:rsidRPr="00842A16">
        <w:rPr>
          <w:rFonts w:ascii="Book Antiqua" w:eastAsia="Calibri" w:hAnsi="Book Antiqua" w:cs="Times New Roman"/>
          <w:bCs/>
          <w:color w:val="1F3864" w:themeColor="accent1" w:themeShade="80"/>
          <w:sz w:val="24"/>
          <w:szCs w:val="24"/>
        </w:rPr>
        <w:t xml:space="preserve"> the </w:t>
      </w:r>
      <w:r w:rsidR="002D5023" w:rsidRPr="00842A16">
        <w:rPr>
          <w:rFonts w:ascii="Book Antiqua" w:eastAsia="Calibri" w:hAnsi="Book Antiqua" w:cs="Times New Roman"/>
          <w:bCs/>
          <w:color w:val="1F3864" w:themeColor="accent1" w:themeShade="80"/>
          <w:sz w:val="24"/>
          <w:szCs w:val="24"/>
        </w:rPr>
        <w:t>office of the Edo State Governor with a staff strength of 5</w:t>
      </w:r>
      <w:r w:rsidR="009D4641">
        <w:rPr>
          <w:rFonts w:ascii="Book Antiqua" w:eastAsia="Calibri" w:hAnsi="Book Antiqua" w:cs="Times New Roman"/>
          <w:bCs/>
          <w:color w:val="1F3864" w:themeColor="accent1" w:themeShade="80"/>
          <w:sz w:val="24"/>
          <w:szCs w:val="24"/>
        </w:rPr>
        <w:t>3</w:t>
      </w:r>
      <w:r w:rsidR="002D5023" w:rsidRPr="00842A16">
        <w:rPr>
          <w:rFonts w:ascii="Book Antiqua" w:eastAsia="Calibri" w:hAnsi="Book Antiqua" w:cs="Times New Roman"/>
          <w:bCs/>
          <w:color w:val="1F3864" w:themeColor="accent1" w:themeShade="80"/>
          <w:sz w:val="24"/>
          <w:szCs w:val="24"/>
        </w:rPr>
        <w:t xml:space="preserve"> inclusive of the Managing Director and </w:t>
      </w:r>
      <w:r w:rsidR="00E1354A" w:rsidRPr="00842A16">
        <w:rPr>
          <w:rFonts w:ascii="Book Antiqua" w:eastAsia="Calibri" w:hAnsi="Book Antiqua" w:cs="Times New Roman"/>
          <w:bCs/>
          <w:color w:val="1F3864" w:themeColor="accent1" w:themeShade="80"/>
          <w:sz w:val="24"/>
          <w:szCs w:val="24"/>
        </w:rPr>
        <w:t xml:space="preserve">two </w:t>
      </w:r>
      <w:r w:rsidR="00D3326A">
        <w:rPr>
          <w:rFonts w:ascii="Book Antiqua" w:eastAsia="Calibri" w:hAnsi="Book Antiqua" w:cs="Times New Roman"/>
          <w:bCs/>
          <w:color w:val="1F3864" w:themeColor="accent1" w:themeShade="80"/>
          <w:sz w:val="24"/>
          <w:szCs w:val="24"/>
        </w:rPr>
        <w:t xml:space="preserve">other senior bureaucrats deployed </w:t>
      </w:r>
      <w:r w:rsidR="002F72B5">
        <w:rPr>
          <w:rFonts w:ascii="Book Antiqua" w:eastAsia="Calibri" w:hAnsi="Book Antiqua" w:cs="Times New Roman"/>
          <w:bCs/>
          <w:color w:val="1F3864" w:themeColor="accent1" w:themeShade="80"/>
          <w:sz w:val="24"/>
          <w:szCs w:val="24"/>
        </w:rPr>
        <w:t>from the Edo State Civil Service</w:t>
      </w:r>
      <w:r w:rsidR="00706F92" w:rsidRPr="00842A16">
        <w:rPr>
          <w:rFonts w:ascii="Book Antiqua" w:eastAsia="Calibri" w:hAnsi="Book Antiqua" w:cs="Times New Roman"/>
          <w:bCs/>
          <w:color w:val="1F3864" w:themeColor="accent1" w:themeShade="80"/>
          <w:sz w:val="24"/>
          <w:szCs w:val="24"/>
        </w:rPr>
        <w:t>. The staffing of the organization</w:t>
      </w:r>
      <w:r w:rsidR="00E1354A" w:rsidRPr="00842A16">
        <w:rPr>
          <w:rFonts w:ascii="Book Antiqua" w:eastAsia="Calibri" w:hAnsi="Book Antiqua" w:cs="Times New Roman"/>
          <w:bCs/>
          <w:color w:val="1F3864" w:themeColor="accent1" w:themeShade="80"/>
          <w:sz w:val="24"/>
          <w:szCs w:val="24"/>
        </w:rPr>
        <w:t xml:space="preserve"> also includes</w:t>
      </w:r>
      <w:r w:rsidR="00820AD2" w:rsidRPr="00842A16">
        <w:rPr>
          <w:rFonts w:ascii="Book Antiqua" w:eastAsia="Calibri" w:hAnsi="Book Antiqua" w:cs="Times New Roman"/>
          <w:bCs/>
          <w:color w:val="1F3864" w:themeColor="accent1" w:themeShade="80"/>
          <w:sz w:val="24"/>
          <w:szCs w:val="24"/>
        </w:rPr>
        <w:t xml:space="preserve"> 32 </w:t>
      </w:r>
      <w:r w:rsidR="00C713B2" w:rsidRPr="00842A16">
        <w:rPr>
          <w:rFonts w:ascii="Book Antiqua" w:eastAsia="Calibri" w:hAnsi="Book Antiqua" w:cs="Times New Roman"/>
          <w:bCs/>
          <w:color w:val="1F3864" w:themeColor="accent1" w:themeShade="80"/>
          <w:sz w:val="24"/>
          <w:szCs w:val="24"/>
        </w:rPr>
        <w:t>Procurement Officers</w:t>
      </w:r>
      <w:r w:rsidR="00820AD2" w:rsidRPr="00842A16">
        <w:rPr>
          <w:rFonts w:ascii="Book Antiqua" w:eastAsia="Calibri" w:hAnsi="Book Antiqua" w:cs="Times New Roman"/>
          <w:bCs/>
          <w:color w:val="1F3864" w:themeColor="accent1" w:themeShade="80"/>
          <w:sz w:val="24"/>
          <w:szCs w:val="24"/>
        </w:rPr>
        <w:t>,</w:t>
      </w:r>
      <w:r w:rsidR="00706F92" w:rsidRPr="00842A16">
        <w:rPr>
          <w:rFonts w:ascii="Book Antiqua" w:eastAsia="Calibri" w:hAnsi="Book Antiqua" w:cs="Times New Roman"/>
          <w:bCs/>
          <w:color w:val="1F3864" w:themeColor="accent1" w:themeShade="80"/>
          <w:sz w:val="24"/>
          <w:szCs w:val="24"/>
        </w:rPr>
        <w:t xml:space="preserve"> </w:t>
      </w:r>
      <w:r w:rsidR="00FA58C5" w:rsidRPr="00842A16">
        <w:rPr>
          <w:rFonts w:ascii="Book Antiqua" w:eastAsia="Calibri" w:hAnsi="Book Antiqua" w:cs="Times New Roman"/>
          <w:bCs/>
          <w:color w:val="1F3864" w:themeColor="accent1" w:themeShade="80"/>
          <w:sz w:val="24"/>
          <w:szCs w:val="24"/>
        </w:rPr>
        <w:t>2</w:t>
      </w:r>
      <w:r w:rsidR="00E328A5" w:rsidRPr="00842A16">
        <w:rPr>
          <w:rFonts w:ascii="Book Antiqua" w:eastAsia="Calibri" w:hAnsi="Book Antiqua" w:cs="Times New Roman"/>
          <w:bCs/>
          <w:color w:val="1F3864" w:themeColor="accent1" w:themeShade="80"/>
          <w:sz w:val="24"/>
          <w:szCs w:val="24"/>
        </w:rPr>
        <w:t xml:space="preserve"> </w:t>
      </w:r>
      <w:r w:rsidR="00C713B2" w:rsidRPr="00842A16">
        <w:rPr>
          <w:rFonts w:ascii="Book Antiqua" w:eastAsia="Calibri" w:hAnsi="Book Antiqua" w:cs="Times New Roman"/>
          <w:bCs/>
          <w:color w:val="1F3864" w:themeColor="accent1" w:themeShade="80"/>
          <w:sz w:val="24"/>
          <w:szCs w:val="24"/>
        </w:rPr>
        <w:t>Accountants</w:t>
      </w:r>
      <w:r w:rsidR="00E1354A" w:rsidRPr="00842A16">
        <w:rPr>
          <w:rFonts w:ascii="Book Antiqua" w:eastAsia="Calibri" w:hAnsi="Book Antiqua" w:cs="Times New Roman"/>
          <w:bCs/>
          <w:color w:val="1F3864" w:themeColor="accent1" w:themeShade="80"/>
          <w:sz w:val="24"/>
          <w:szCs w:val="24"/>
        </w:rPr>
        <w:t xml:space="preserve">, </w:t>
      </w:r>
      <w:r w:rsidR="00820AD2" w:rsidRPr="00842A16">
        <w:rPr>
          <w:rFonts w:ascii="Book Antiqua" w:eastAsia="Calibri" w:hAnsi="Book Antiqua" w:cs="Times New Roman"/>
          <w:bCs/>
          <w:color w:val="1F3864" w:themeColor="accent1" w:themeShade="80"/>
          <w:sz w:val="24"/>
          <w:szCs w:val="24"/>
        </w:rPr>
        <w:t>2 Engineers (Civil/Mechanical),</w:t>
      </w:r>
      <w:r w:rsidR="002F72B5">
        <w:rPr>
          <w:rFonts w:ascii="Book Antiqua" w:eastAsia="Calibri" w:hAnsi="Book Antiqua" w:cs="Times New Roman"/>
          <w:bCs/>
          <w:color w:val="1F3864" w:themeColor="accent1" w:themeShade="80"/>
          <w:sz w:val="24"/>
          <w:szCs w:val="24"/>
        </w:rPr>
        <w:t xml:space="preserve"> Quantity Surveyor,</w:t>
      </w:r>
      <w:r w:rsidR="00CE1C8B" w:rsidRPr="00842A16">
        <w:rPr>
          <w:rFonts w:ascii="Book Antiqua" w:eastAsia="Calibri" w:hAnsi="Book Antiqua" w:cs="Times New Roman"/>
          <w:bCs/>
          <w:color w:val="1F3864" w:themeColor="accent1" w:themeShade="80"/>
          <w:sz w:val="24"/>
          <w:szCs w:val="24"/>
        </w:rPr>
        <w:t xml:space="preserve"> </w:t>
      </w:r>
      <w:r w:rsidR="00FA58C5" w:rsidRPr="00842A16">
        <w:rPr>
          <w:rFonts w:ascii="Book Antiqua" w:eastAsia="Calibri" w:hAnsi="Book Antiqua" w:cs="Times New Roman"/>
          <w:bCs/>
          <w:color w:val="1F3864" w:themeColor="accent1" w:themeShade="80"/>
          <w:sz w:val="24"/>
          <w:szCs w:val="24"/>
        </w:rPr>
        <w:t>2</w:t>
      </w:r>
      <w:r w:rsidR="00E328A5" w:rsidRPr="00842A16">
        <w:rPr>
          <w:rFonts w:ascii="Book Antiqua" w:eastAsia="Calibri" w:hAnsi="Book Antiqua" w:cs="Times New Roman"/>
          <w:bCs/>
          <w:color w:val="1F3864" w:themeColor="accent1" w:themeShade="80"/>
          <w:sz w:val="24"/>
          <w:szCs w:val="24"/>
        </w:rPr>
        <w:t xml:space="preserve"> </w:t>
      </w:r>
      <w:r w:rsidR="00CE1C8B" w:rsidRPr="00842A16">
        <w:rPr>
          <w:rFonts w:ascii="Book Antiqua" w:eastAsia="Calibri" w:hAnsi="Book Antiqua" w:cs="Times New Roman"/>
          <w:bCs/>
          <w:color w:val="1F3864" w:themeColor="accent1" w:themeShade="80"/>
          <w:sz w:val="24"/>
          <w:szCs w:val="24"/>
        </w:rPr>
        <w:t xml:space="preserve">Industrial </w:t>
      </w:r>
      <w:r w:rsidR="00C713B2" w:rsidRPr="00842A16">
        <w:rPr>
          <w:rFonts w:ascii="Book Antiqua" w:eastAsia="Calibri" w:hAnsi="Book Antiqua" w:cs="Times New Roman"/>
          <w:bCs/>
          <w:color w:val="1F3864" w:themeColor="accent1" w:themeShade="80"/>
          <w:sz w:val="24"/>
          <w:szCs w:val="24"/>
        </w:rPr>
        <w:t>Promotion Officers</w:t>
      </w:r>
      <w:r w:rsidR="00FA58C5" w:rsidRPr="00842A16">
        <w:rPr>
          <w:rFonts w:ascii="Book Antiqua" w:eastAsia="Calibri" w:hAnsi="Book Antiqua" w:cs="Times New Roman"/>
          <w:bCs/>
          <w:color w:val="1F3864" w:themeColor="accent1" w:themeShade="80"/>
          <w:sz w:val="24"/>
          <w:szCs w:val="24"/>
        </w:rPr>
        <w:t>,</w:t>
      </w:r>
      <w:r w:rsidR="00C713B2" w:rsidRPr="00842A16">
        <w:rPr>
          <w:rFonts w:ascii="Book Antiqua" w:eastAsia="Calibri" w:hAnsi="Book Antiqua" w:cs="Times New Roman"/>
          <w:bCs/>
          <w:color w:val="1F3864" w:themeColor="accent1" w:themeShade="80"/>
          <w:sz w:val="24"/>
          <w:szCs w:val="24"/>
        </w:rPr>
        <w:t xml:space="preserve"> a Scientific Officer, Higher Technical Officer, Higher Executive Officer, Statistician, Cooperative Officer </w:t>
      </w:r>
      <w:r w:rsidR="00820AD2" w:rsidRPr="00842A16">
        <w:rPr>
          <w:rFonts w:ascii="Book Antiqua" w:eastAsia="Calibri" w:hAnsi="Book Antiqua" w:cs="Times New Roman"/>
          <w:bCs/>
          <w:color w:val="1F3864" w:themeColor="accent1" w:themeShade="80"/>
          <w:sz w:val="24"/>
          <w:szCs w:val="24"/>
        </w:rPr>
        <w:t xml:space="preserve">and </w:t>
      </w:r>
      <w:r w:rsidR="009D4641">
        <w:rPr>
          <w:rFonts w:ascii="Book Antiqua" w:eastAsia="Calibri" w:hAnsi="Book Antiqua" w:cs="Times New Roman"/>
          <w:bCs/>
          <w:color w:val="1F3864" w:themeColor="accent1" w:themeShade="80"/>
          <w:sz w:val="24"/>
          <w:szCs w:val="24"/>
        </w:rPr>
        <w:t>6</w:t>
      </w:r>
      <w:r w:rsidR="00820AD2" w:rsidRPr="00842A16">
        <w:rPr>
          <w:rFonts w:ascii="Book Antiqua" w:eastAsia="Calibri" w:hAnsi="Book Antiqua" w:cs="Times New Roman"/>
          <w:bCs/>
          <w:color w:val="1F3864" w:themeColor="accent1" w:themeShade="80"/>
          <w:sz w:val="24"/>
          <w:szCs w:val="24"/>
        </w:rPr>
        <w:t xml:space="preserve"> support staff</w:t>
      </w:r>
      <w:r w:rsidR="00C713B2" w:rsidRPr="00842A16">
        <w:rPr>
          <w:rFonts w:ascii="Book Antiqua" w:eastAsia="Calibri" w:hAnsi="Book Antiqua" w:cs="Times New Roman"/>
          <w:bCs/>
          <w:color w:val="1F3864" w:themeColor="accent1" w:themeShade="80"/>
          <w:sz w:val="24"/>
          <w:szCs w:val="24"/>
        </w:rPr>
        <w:t>.</w:t>
      </w:r>
      <w:r w:rsidR="00990CEE" w:rsidRPr="00842A16">
        <w:rPr>
          <w:rFonts w:ascii="Book Antiqua" w:eastAsia="Calibri" w:hAnsi="Book Antiqua" w:cs="Times New Roman"/>
          <w:bCs/>
          <w:color w:val="1F3864" w:themeColor="accent1" w:themeShade="80"/>
          <w:sz w:val="24"/>
          <w:szCs w:val="24"/>
        </w:rPr>
        <w:t xml:space="preserve"> </w:t>
      </w:r>
      <w:r w:rsidR="00C714DA" w:rsidRPr="00842A16">
        <w:rPr>
          <w:rFonts w:ascii="Book Antiqua" w:eastAsia="Calibri" w:hAnsi="Book Antiqua" w:cs="Times New Roman"/>
          <w:bCs/>
          <w:color w:val="1F3864" w:themeColor="accent1" w:themeShade="80"/>
          <w:sz w:val="24"/>
          <w:szCs w:val="24"/>
        </w:rPr>
        <w:t xml:space="preserve">It is </w:t>
      </w:r>
      <w:r w:rsidR="00C714DA" w:rsidRPr="00842A16">
        <w:rPr>
          <w:rFonts w:ascii="Book Antiqua" w:eastAsia="Calibri" w:hAnsi="Book Antiqua" w:cs="Times New Roman"/>
          <w:bCs/>
          <w:color w:val="1F3864" w:themeColor="accent1" w:themeShade="80"/>
          <w:sz w:val="24"/>
          <w:szCs w:val="24"/>
        </w:rPr>
        <w:lastRenderedPageBreak/>
        <w:t>important to mention that of the 5</w:t>
      </w:r>
      <w:r w:rsidR="009D4641">
        <w:rPr>
          <w:rFonts w:ascii="Book Antiqua" w:eastAsia="Calibri" w:hAnsi="Book Antiqua" w:cs="Times New Roman"/>
          <w:bCs/>
          <w:color w:val="1F3864" w:themeColor="accent1" w:themeShade="80"/>
          <w:sz w:val="24"/>
          <w:szCs w:val="24"/>
        </w:rPr>
        <w:t>3</w:t>
      </w:r>
      <w:r w:rsidR="00C714DA" w:rsidRPr="00842A16">
        <w:rPr>
          <w:rFonts w:ascii="Book Antiqua" w:eastAsia="Calibri" w:hAnsi="Book Antiqua" w:cs="Times New Roman"/>
          <w:bCs/>
          <w:color w:val="1F3864" w:themeColor="accent1" w:themeShade="80"/>
          <w:sz w:val="24"/>
          <w:szCs w:val="24"/>
        </w:rPr>
        <w:t xml:space="preserve"> personnel that currently work at the agency, 2</w:t>
      </w:r>
      <w:r w:rsidR="009D4641">
        <w:rPr>
          <w:rFonts w:ascii="Book Antiqua" w:eastAsia="Calibri" w:hAnsi="Book Antiqua" w:cs="Times New Roman"/>
          <w:bCs/>
          <w:color w:val="1F3864" w:themeColor="accent1" w:themeShade="80"/>
          <w:sz w:val="24"/>
          <w:szCs w:val="24"/>
        </w:rPr>
        <w:t>6</w:t>
      </w:r>
      <w:r w:rsidR="00C714DA" w:rsidRPr="00842A16">
        <w:rPr>
          <w:rFonts w:ascii="Book Antiqua" w:eastAsia="Calibri" w:hAnsi="Book Antiqua" w:cs="Times New Roman"/>
          <w:bCs/>
          <w:color w:val="1F3864" w:themeColor="accent1" w:themeShade="80"/>
          <w:sz w:val="24"/>
          <w:szCs w:val="24"/>
        </w:rPr>
        <w:t xml:space="preserve"> of them are male, while 27 of the</w:t>
      </w:r>
      <w:r w:rsidR="002F72B5">
        <w:rPr>
          <w:rFonts w:ascii="Book Antiqua" w:eastAsia="Calibri" w:hAnsi="Book Antiqua" w:cs="Times New Roman"/>
          <w:bCs/>
          <w:color w:val="1F3864" w:themeColor="accent1" w:themeShade="80"/>
          <w:sz w:val="24"/>
          <w:szCs w:val="24"/>
        </w:rPr>
        <w:t>m</w:t>
      </w:r>
      <w:r w:rsidR="00C714DA" w:rsidRPr="00842A16">
        <w:rPr>
          <w:rFonts w:ascii="Book Antiqua" w:eastAsia="Calibri" w:hAnsi="Book Antiqua" w:cs="Times New Roman"/>
          <w:bCs/>
          <w:color w:val="1F3864" w:themeColor="accent1" w:themeShade="80"/>
          <w:sz w:val="24"/>
          <w:szCs w:val="24"/>
        </w:rPr>
        <w:t xml:space="preserve"> are female including the two </w:t>
      </w:r>
      <w:r w:rsidR="002F72B5">
        <w:rPr>
          <w:rFonts w:ascii="Book Antiqua" w:eastAsia="Calibri" w:hAnsi="Book Antiqua" w:cs="Times New Roman"/>
          <w:bCs/>
          <w:color w:val="1F3864" w:themeColor="accent1" w:themeShade="80"/>
          <w:sz w:val="24"/>
          <w:szCs w:val="24"/>
        </w:rPr>
        <w:t>senior bureaucrats</w:t>
      </w:r>
      <w:r w:rsidR="00C714DA" w:rsidRPr="00842A16">
        <w:rPr>
          <w:rFonts w:ascii="Book Antiqua" w:eastAsia="Calibri" w:hAnsi="Book Antiqua" w:cs="Times New Roman"/>
          <w:bCs/>
          <w:color w:val="1F3864" w:themeColor="accent1" w:themeShade="80"/>
          <w:sz w:val="24"/>
          <w:szCs w:val="24"/>
        </w:rPr>
        <w:t xml:space="preserve"> of the </w:t>
      </w:r>
      <w:r w:rsidR="00C714DA" w:rsidRPr="00842A16">
        <w:rPr>
          <w:rFonts w:ascii="Book Antiqua" w:eastAsia="Calibri" w:hAnsi="Book Antiqua" w:cs="Times New Roman"/>
          <w:color w:val="1F3864" w:themeColor="accent1" w:themeShade="80"/>
          <w:sz w:val="24"/>
          <w:szCs w:val="24"/>
        </w:rPr>
        <w:t xml:space="preserve">Share Services </w:t>
      </w:r>
      <w:r w:rsidR="002F72B5">
        <w:rPr>
          <w:rFonts w:ascii="Book Antiqua" w:eastAsia="Calibri" w:hAnsi="Book Antiqua" w:cs="Times New Roman"/>
          <w:color w:val="1F3864" w:themeColor="accent1" w:themeShade="80"/>
          <w:sz w:val="24"/>
          <w:szCs w:val="24"/>
        </w:rPr>
        <w:t xml:space="preserve">Suites </w:t>
      </w:r>
      <w:r w:rsidR="00C714DA" w:rsidRPr="00842A16">
        <w:rPr>
          <w:rFonts w:ascii="Book Antiqua" w:eastAsia="Calibri" w:hAnsi="Book Antiqua" w:cs="Times New Roman"/>
          <w:color w:val="1F3864" w:themeColor="accent1" w:themeShade="80"/>
          <w:sz w:val="24"/>
          <w:szCs w:val="24"/>
        </w:rPr>
        <w:t xml:space="preserve">and policy planning and statistics </w:t>
      </w:r>
      <w:r w:rsidR="002F72B5">
        <w:rPr>
          <w:rFonts w:ascii="Book Antiqua" w:eastAsia="Calibri" w:hAnsi="Book Antiqua" w:cs="Times New Roman"/>
          <w:color w:val="1F3864" w:themeColor="accent1" w:themeShade="80"/>
          <w:sz w:val="24"/>
          <w:szCs w:val="24"/>
        </w:rPr>
        <w:t>department.</w:t>
      </w:r>
    </w:p>
    <w:p w14:paraId="3EB8B2B1" w14:textId="2F4F8CF9" w:rsidR="00602E08" w:rsidRPr="00842A16" w:rsidRDefault="00602E08"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 xml:space="preserve"> </w:t>
      </w:r>
      <w:r w:rsidR="0008519B">
        <w:rPr>
          <w:noProof/>
        </w:rPr>
        <w:drawing>
          <wp:inline distT="0" distB="0" distL="0" distR="0" wp14:anchorId="19DFEBED" wp14:editId="0A28729A">
            <wp:extent cx="5597517" cy="3339193"/>
            <wp:effectExtent l="57150" t="57150" r="41910" b="5207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16DD64C1" w14:textId="250686EE" w:rsidR="00C714DA" w:rsidRPr="00842A16" w:rsidRDefault="00C714DA"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Fig 2: Staff Distribution of the EDPPA</w:t>
      </w:r>
    </w:p>
    <w:p w14:paraId="0A1DAA9A" w14:textId="06732E8F" w:rsidR="00602E08" w:rsidRPr="00842A16" w:rsidRDefault="00963C4C" w:rsidP="003A254A">
      <w:pPr>
        <w:jc w:val="both"/>
        <w:rPr>
          <w:rFonts w:ascii="Book Antiqua" w:eastAsia="Calibri" w:hAnsi="Book Antiqua" w:cs="Times New Roman"/>
          <w:bCs/>
          <w:color w:val="1F3864" w:themeColor="accent1" w:themeShade="80"/>
          <w:sz w:val="24"/>
          <w:szCs w:val="24"/>
        </w:rPr>
      </w:pPr>
      <w:r>
        <w:rPr>
          <w:noProof/>
        </w:rPr>
        <mc:AlternateContent>
          <mc:Choice Requires="wps">
            <w:drawing>
              <wp:anchor distT="0" distB="0" distL="114300" distR="114300" simplePos="0" relativeHeight="251661312" behindDoc="0" locked="0" layoutInCell="1" allowOverlap="1" wp14:anchorId="7E62B00A" wp14:editId="345D366E">
                <wp:simplePos x="0" y="0"/>
                <wp:positionH relativeFrom="margin">
                  <wp:posOffset>3323409</wp:posOffset>
                </wp:positionH>
                <wp:positionV relativeFrom="paragraph">
                  <wp:posOffset>2885135</wp:posOffset>
                </wp:positionV>
                <wp:extent cx="2163091" cy="285008"/>
                <wp:effectExtent l="0" t="0" r="0" b="1270"/>
                <wp:wrapNone/>
                <wp:docPr id="6" name="Text Box 6"/>
                <wp:cNvGraphicFramePr/>
                <a:graphic xmlns:a="http://schemas.openxmlformats.org/drawingml/2006/main">
                  <a:graphicData uri="http://schemas.microsoft.com/office/word/2010/wordprocessingShape">
                    <wps:wsp>
                      <wps:cNvSpPr txBox="1"/>
                      <wps:spPr>
                        <a:xfrm>
                          <a:off x="0" y="0"/>
                          <a:ext cx="2163091" cy="285008"/>
                        </a:xfrm>
                        <a:prstGeom prst="rect">
                          <a:avLst/>
                        </a:prstGeom>
                        <a:noFill/>
                        <a:ln>
                          <a:noFill/>
                        </a:ln>
                      </wps:spPr>
                      <wps:txbx>
                        <w:txbxContent>
                          <w:p w14:paraId="64D42589" w14:textId="666B36A8" w:rsidR="00963C4C" w:rsidRPr="00963C4C" w:rsidRDefault="00963C4C" w:rsidP="00963C4C">
                            <w:pPr>
                              <w:jc w:val="center"/>
                              <w:rPr>
                                <w:rFonts w:ascii="Book Antiqua" w:eastAsia="Calibri" w:hAnsi="Book Antiqua" w:cs="Times New Roman"/>
                                <w:bCs/>
                                <w:color w:val="4472C4" w:themeColor="accent1"/>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63C4C">
                              <w:rPr>
                                <w:rFonts w:ascii="Book Antiqua" w:eastAsia="Calibri" w:hAnsi="Book Antiqua" w:cs="Times New Roman"/>
                                <w:bCs/>
                                <w:color w:val="4472C4" w:themeColor="accent1"/>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Total Number of Staff - 5</w:t>
                            </w:r>
                            <w:r w:rsidR="00300C33">
                              <w:rPr>
                                <w:rFonts w:ascii="Book Antiqua" w:eastAsia="Calibri" w:hAnsi="Book Antiqua" w:cs="Times New Roman"/>
                                <w:bCs/>
                                <w:color w:val="4472C4" w:themeColor="accent1"/>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E62B00A" id="_x0000_t202" coordsize="21600,21600" o:spt="202" path="m,l,21600r21600,l21600,xe">
                <v:stroke joinstyle="miter"/>
                <v:path gradientshapeok="t" o:connecttype="rect"/>
              </v:shapetype>
              <v:shape id="Text Box 6" o:spid="_x0000_s1027" type="#_x0000_t202" style="position:absolute;left:0;text-align:left;margin-left:261.7pt;margin-top:227.2pt;width:170.3pt;height:22.4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" filled="f" stroked="f">
                <v:fill o:detectmouseclick="t"/>
                <v:textbox>
                  <w:txbxContent>
                    <w:p w14:paraId="64D42589" w14:textId="666B36A8" w:rsidR="00963C4C" w:rsidRPr="00963C4C" w:rsidRDefault="00963C4C" w:rsidP="00963C4C">
                      <w:pPr>
                        <w:jc w:val="center"/>
                        <w:rPr>
                          <w:rFonts w:ascii="Book Antiqua" w:eastAsia="Calibri" w:hAnsi="Book Antiqua" w:cs="Times New Roman"/>
                          <w:bCs/>
                          <w:color w:val="4472C4" w:themeColor="accent1"/>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63C4C">
                        <w:rPr>
                          <w:rFonts w:ascii="Book Antiqua" w:eastAsia="Calibri" w:hAnsi="Book Antiqua" w:cs="Times New Roman"/>
                          <w:bCs/>
                          <w:color w:val="4472C4" w:themeColor="accent1"/>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Total Number of Staff - 5</w:t>
                      </w:r>
                      <w:r w:rsidR="00300C33">
                        <w:rPr>
                          <w:rFonts w:ascii="Book Antiqua" w:eastAsia="Calibri" w:hAnsi="Book Antiqua" w:cs="Times New Roman"/>
                          <w:bCs/>
                          <w:color w:val="4472C4" w:themeColor="accent1"/>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p>
                  </w:txbxContent>
                </v:textbox>
                <w10:wrap anchorx="margin"/>
              </v:shape>
            </w:pict>
          </mc:Fallback>
        </mc:AlternateContent>
      </w:r>
      <w:r w:rsidR="00F962AE" w:rsidRPr="00842A16">
        <w:rPr>
          <w:rFonts w:ascii="Book Antiqua" w:eastAsia="Calibri" w:hAnsi="Book Antiqua" w:cs="Times New Roman"/>
          <w:bCs/>
          <w:noProof/>
          <w:color w:val="1F3864" w:themeColor="accent1" w:themeShade="80"/>
          <w:sz w:val="24"/>
          <w:szCs w:val="24"/>
        </w:rPr>
        <w:drawing>
          <wp:inline distT="0" distB="0" distL="0" distR="0" wp14:anchorId="1553415B" wp14:editId="675A7682">
            <wp:extent cx="5486400" cy="3200400"/>
            <wp:effectExtent l="0" t="0" r="0"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29F9943A" w14:textId="7D033A28" w:rsidR="00C714DA" w:rsidRPr="00842A16" w:rsidRDefault="002B4436"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 xml:space="preserve">Fig 3: </w:t>
      </w:r>
      <w:r w:rsidR="00C714DA" w:rsidRPr="00842A16">
        <w:rPr>
          <w:rFonts w:ascii="Book Antiqua" w:eastAsia="Calibri" w:hAnsi="Book Antiqua" w:cs="Times New Roman"/>
          <w:bCs/>
          <w:color w:val="1F3864" w:themeColor="accent1" w:themeShade="80"/>
          <w:sz w:val="24"/>
          <w:szCs w:val="24"/>
        </w:rPr>
        <w:t>Gender distribution of the EDPPA</w:t>
      </w:r>
    </w:p>
    <w:p w14:paraId="0E9AE94E" w14:textId="73823F58" w:rsidR="00405500" w:rsidRPr="00842A16" w:rsidRDefault="00405500" w:rsidP="00B2295B">
      <w:pPr>
        <w:jc w:val="center"/>
        <w:rPr>
          <w:rFonts w:ascii="Book Antiqua" w:eastAsia="Calibri" w:hAnsi="Book Antiqua" w:cs="Times New Roman"/>
          <w:b/>
          <w:color w:val="1F3864" w:themeColor="accent1" w:themeShade="80"/>
          <w:sz w:val="24"/>
          <w:szCs w:val="24"/>
        </w:rPr>
      </w:pPr>
      <w:r w:rsidRPr="00842A16">
        <w:rPr>
          <w:rFonts w:ascii="Book Antiqua" w:eastAsia="Calibri" w:hAnsi="Book Antiqua" w:cs="Times New Roman"/>
          <w:b/>
          <w:color w:val="1F3864" w:themeColor="accent1" w:themeShade="80"/>
          <w:sz w:val="24"/>
          <w:szCs w:val="24"/>
        </w:rPr>
        <w:lastRenderedPageBreak/>
        <w:t>Edo State Procurement Cadre</w:t>
      </w:r>
    </w:p>
    <w:p w14:paraId="36F3C190" w14:textId="4E6D28E4" w:rsidR="002D5023" w:rsidRPr="00842A16" w:rsidRDefault="00EF1CF4"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 xml:space="preserve">As reflected above, Edo State currently has a procurement officer cadre in its civil service that was created by Edo State Executive Council on March 17, 2015 as empowered by Section 18 of the Edo State Public Procurement </w:t>
      </w:r>
      <w:r w:rsidR="00592815">
        <w:rPr>
          <w:rFonts w:ascii="Book Antiqua" w:eastAsia="Calibri" w:hAnsi="Book Antiqua" w:cs="Times New Roman"/>
          <w:bCs/>
          <w:color w:val="1F3864" w:themeColor="accent1" w:themeShade="80"/>
          <w:sz w:val="24"/>
          <w:szCs w:val="24"/>
        </w:rPr>
        <w:t>L</w:t>
      </w:r>
      <w:r w:rsidR="00405500" w:rsidRPr="00842A16">
        <w:rPr>
          <w:rFonts w:ascii="Book Antiqua" w:eastAsia="Calibri" w:hAnsi="Book Antiqua" w:cs="Times New Roman"/>
          <w:bCs/>
          <w:color w:val="1F3864" w:themeColor="accent1" w:themeShade="80"/>
          <w:sz w:val="24"/>
          <w:szCs w:val="24"/>
        </w:rPr>
        <w:t>aw. The cadre is structured in line with the state’s the scheme of service</w:t>
      </w:r>
      <w:r w:rsidR="00912C4E" w:rsidRPr="00842A16">
        <w:rPr>
          <w:rFonts w:ascii="Book Antiqua" w:eastAsia="Calibri" w:hAnsi="Book Antiqua" w:cs="Times New Roman"/>
          <w:bCs/>
          <w:color w:val="1F3864" w:themeColor="accent1" w:themeShade="80"/>
          <w:sz w:val="24"/>
          <w:szCs w:val="24"/>
        </w:rPr>
        <w:t xml:space="preserve"> in 9 grades</w:t>
      </w:r>
      <w:r w:rsidR="00405500" w:rsidRPr="00842A16">
        <w:rPr>
          <w:rFonts w:ascii="Book Antiqua" w:eastAsia="Calibri" w:hAnsi="Book Antiqua" w:cs="Times New Roman"/>
          <w:bCs/>
          <w:color w:val="1F3864" w:themeColor="accent1" w:themeShade="80"/>
          <w:sz w:val="24"/>
          <w:szCs w:val="24"/>
        </w:rPr>
        <w:t xml:space="preserve"> from Grade 8 to Grade 17 as highlighted below:</w:t>
      </w:r>
    </w:p>
    <w:p w14:paraId="2EF58D53" w14:textId="62955A96" w:rsidR="00912C4E" w:rsidRPr="00842A16" w:rsidRDefault="00912C4E" w:rsidP="003A254A">
      <w:pPr>
        <w:jc w:val="both"/>
        <w:rPr>
          <w:rFonts w:ascii="Book Antiqua" w:eastAsia="Calibri" w:hAnsi="Book Antiqua" w:cs="Times New Roman"/>
          <w:b/>
          <w:color w:val="1F3864" w:themeColor="accent1" w:themeShade="80"/>
          <w:sz w:val="24"/>
          <w:szCs w:val="24"/>
        </w:rPr>
      </w:pPr>
      <w:r w:rsidRPr="00842A16">
        <w:rPr>
          <w:rFonts w:ascii="Book Antiqua" w:eastAsia="Calibri" w:hAnsi="Book Antiqua" w:cs="Times New Roman"/>
          <w:b/>
          <w:color w:val="1F3864" w:themeColor="accent1" w:themeShade="80"/>
          <w:sz w:val="24"/>
          <w:szCs w:val="24"/>
        </w:rPr>
        <w:t>Cadre</w:t>
      </w:r>
      <w:r w:rsidRPr="00842A16">
        <w:rPr>
          <w:rFonts w:ascii="Book Antiqua" w:eastAsia="Calibri" w:hAnsi="Book Antiqua" w:cs="Times New Roman"/>
          <w:b/>
          <w:color w:val="1F3864" w:themeColor="accent1" w:themeShade="80"/>
          <w:sz w:val="24"/>
          <w:szCs w:val="24"/>
        </w:rPr>
        <w:tab/>
      </w:r>
      <w:r w:rsidRPr="00842A16">
        <w:rPr>
          <w:rFonts w:ascii="Book Antiqua" w:eastAsia="Calibri" w:hAnsi="Book Antiqua" w:cs="Times New Roman"/>
          <w:b/>
          <w:color w:val="1F3864" w:themeColor="accent1" w:themeShade="80"/>
          <w:sz w:val="24"/>
          <w:szCs w:val="24"/>
        </w:rPr>
        <w:tab/>
      </w:r>
      <w:r w:rsidRPr="00842A16">
        <w:rPr>
          <w:rFonts w:ascii="Book Antiqua" w:eastAsia="Calibri" w:hAnsi="Book Antiqua" w:cs="Times New Roman"/>
          <w:b/>
          <w:color w:val="1F3864" w:themeColor="accent1" w:themeShade="80"/>
          <w:sz w:val="24"/>
          <w:szCs w:val="24"/>
        </w:rPr>
        <w:tab/>
      </w:r>
      <w:r w:rsidRPr="00842A16">
        <w:rPr>
          <w:rFonts w:ascii="Book Antiqua" w:eastAsia="Calibri" w:hAnsi="Book Antiqua" w:cs="Times New Roman"/>
          <w:b/>
          <w:color w:val="1F3864" w:themeColor="accent1" w:themeShade="80"/>
          <w:sz w:val="24"/>
          <w:szCs w:val="24"/>
        </w:rPr>
        <w:tab/>
      </w:r>
      <w:r w:rsidRPr="00842A16">
        <w:rPr>
          <w:rFonts w:ascii="Book Antiqua" w:eastAsia="Calibri" w:hAnsi="Book Antiqua" w:cs="Times New Roman"/>
          <w:b/>
          <w:color w:val="1F3864" w:themeColor="accent1" w:themeShade="80"/>
          <w:sz w:val="24"/>
          <w:szCs w:val="24"/>
        </w:rPr>
        <w:tab/>
      </w:r>
      <w:r w:rsidRPr="00842A16">
        <w:rPr>
          <w:rFonts w:ascii="Book Antiqua" w:eastAsia="Calibri" w:hAnsi="Book Antiqua" w:cs="Times New Roman"/>
          <w:b/>
          <w:color w:val="1F3864" w:themeColor="accent1" w:themeShade="80"/>
          <w:sz w:val="24"/>
          <w:szCs w:val="24"/>
        </w:rPr>
        <w:tab/>
        <w:t>Grade</w:t>
      </w:r>
    </w:p>
    <w:p w14:paraId="22DA1D8F" w14:textId="16C11180" w:rsidR="00EF1CF4" w:rsidRPr="00842A16" w:rsidRDefault="00912C4E"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Procurement Officer II</w:t>
      </w:r>
      <w:r w:rsidRPr="00842A16">
        <w:rPr>
          <w:rFonts w:ascii="Book Antiqua" w:eastAsia="Calibri" w:hAnsi="Book Antiqua" w:cs="Times New Roman"/>
          <w:bCs/>
          <w:color w:val="1F3864" w:themeColor="accent1" w:themeShade="80"/>
          <w:sz w:val="24"/>
          <w:szCs w:val="24"/>
        </w:rPr>
        <w:tab/>
      </w:r>
      <w:r w:rsidRPr="00842A16">
        <w:rPr>
          <w:rFonts w:ascii="Book Antiqua" w:eastAsia="Calibri" w:hAnsi="Book Antiqua" w:cs="Times New Roman"/>
          <w:bCs/>
          <w:color w:val="1F3864" w:themeColor="accent1" w:themeShade="80"/>
          <w:sz w:val="24"/>
          <w:szCs w:val="24"/>
        </w:rPr>
        <w:tab/>
      </w:r>
      <w:r w:rsidRPr="00842A16">
        <w:rPr>
          <w:rFonts w:ascii="Book Antiqua" w:eastAsia="Calibri" w:hAnsi="Book Antiqua" w:cs="Times New Roman"/>
          <w:bCs/>
          <w:color w:val="1F3864" w:themeColor="accent1" w:themeShade="80"/>
          <w:sz w:val="24"/>
          <w:szCs w:val="24"/>
        </w:rPr>
        <w:tab/>
        <w:t>8</w:t>
      </w:r>
    </w:p>
    <w:p w14:paraId="4639D6CF" w14:textId="07C90949" w:rsidR="00912C4E" w:rsidRPr="00842A16" w:rsidRDefault="00912C4E"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Procurement Officer I</w:t>
      </w:r>
      <w:r w:rsidRPr="00842A16">
        <w:rPr>
          <w:rFonts w:ascii="Book Antiqua" w:eastAsia="Calibri" w:hAnsi="Book Antiqua" w:cs="Times New Roman"/>
          <w:bCs/>
          <w:color w:val="1F3864" w:themeColor="accent1" w:themeShade="80"/>
          <w:sz w:val="24"/>
          <w:szCs w:val="24"/>
        </w:rPr>
        <w:tab/>
      </w:r>
      <w:r w:rsidRPr="00842A16">
        <w:rPr>
          <w:rFonts w:ascii="Book Antiqua" w:eastAsia="Calibri" w:hAnsi="Book Antiqua" w:cs="Times New Roman"/>
          <w:bCs/>
          <w:color w:val="1F3864" w:themeColor="accent1" w:themeShade="80"/>
          <w:sz w:val="24"/>
          <w:szCs w:val="24"/>
        </w:rPr>
        <w:tab/>
      </w:r>
      <w:r w:rsidRPr="00842A16">
        <w:rPr>
          <w:rFonts w:ascii="Book Antiqua" w:eastAsia="Calibri" w:hAnsi="Book Antiqua" w:cs="Times New Roman"/>
          <w:bCs/>
          <w:color w:val="1F3864" w:themeColor="accent1" w:themeShade="80"/>
          <w:sz w:val="24"/>
          <w:szCs w:val="24"/>
        </w:rPr>
        <w:tab/>
        <w:t>9</w:t>
      </w:r>
    </w:p>
    <w:p w14:paraId="5FEF38F4" w14:textId="4675E852" w:rsidR="00912C4E" w:rsidRPr="00842A16" w:rsidRDefault="00912C4E"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 xml:space="preserve">Senior Procurement Officer </w:t>
      </w:r>
      <w:r w:rsidRPr="00842A16">
        <w:rPr>
          <w:rFonts w:ascii="Book Antiqua" w:eastAsia="Calibri" w:hAnsi="Book Antiqua" w:cs="Times New Roman"/>
          <w:bCs/>
          <w:color w:val="1F3864" w:themeColor="accent1" w:themeShade="80"/>
          <w:sz w:val="24"/>
          <w:szCs w:val="24"/>
        </w:rPr>
        <w:tab/>
      </w:r>
      <w:r w:rsidRPr="00842A16">
        <w:rPr>
          <w:rFonts w:ascii="Book Antiqua" w:eastAsia="Calibri" w:hAnsi="Book Antiqua" w:cs="Times New Roman"/>
          <w:bCs/>
          <w:color w:val="1F3864" w:themeColor="accent1" w:themeShade="80"/>
          <w:sz w:val="24"/>
          <w:szCs w:val="24"/>
        </w:rPr>
        <w:tab/>
        <w:t>10</w:t>
      </w:r>
    </w:p>
    <w:p w14:paraId="69E2B95F" w14:textId="630E8D8F" w:rsidR="00912C4E" w:rsidRPr="00842A16" w:rsidRDefault="00912C4E"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 xml:space="preserve">Principal Procurement Officer </w:t>
      </w:r>
      <w:r w:rsidRPr="00842A16">
        <w:rPr>
          <w:rFonts w:ascii="Book Antiqua" w:eastAsia="Calibri" w:hAnsi="Book Antiqua" w:cs="Times New Roman"/>
          <w:bCs/>
          <w:color w:val="1F3864" w:themeColor="accent1" w:themeShade="80"/>
          <w:sz w:val="24"/>
          <w:szCs w:val="24"/>
        </w:rPr>
        <w:tab/>
      </w:r>
      <w:r w:rsidRPr="00842A16">
        <w:rPr>
          <w:rFonts w:ascii="Book Antiqua" w:eastAsia="Calibri" w:hAnsi="Book Antiqua" w:cs="Times New Roman"/>
          <w:bCs/>
          <w:color w:val="1F3864" w:themeColor="accent1" w:themeShade="80"/>
          <w:sz w:val="24"/>
          <w:szCs w:val="24"/>
        </w:rPr>
        <w:tab/>
        <w:t>12</w:t>
      </w:r>
    </w:p>
    <w:p w14:paraId="3DBD51D0" w14:textId="77777777" w:rsidR="00912C4E" w:rsidRPr="00842A16" w:rsidRDefault="00912C4E" w:rsidP="00912C4E">
      <w:pPr>
        <w:tabs>
          <w:tab w:val="left" w:pos="360"/>
        </w:tabs>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 xml:space="preserve">Assistant Chief Procurement Officer </w:t>
      </w:r>
      <w:r w:rsidRPr="00842A16">
        <w:rPr>
          <w:rFonts w:ascii="Book Antiqua" w:eastAsia="Calibri" w:hAnsi="Book Antiqua" w:cs="Times New Roman"/>
          <w:bCs/>
          <w:color w:val="1F3864" w:themeColor="accent1" w:themeShade="80"/>
          <w:sz w:val="24"/>
          <w:szCs w:val="24"/>
        </w:rPr>
        <w:tab/>
        <w:t>13</w:t>
      </w:r>
    </w:p>
    <w:p w14:paraId="2F182859" w14:textId="77777777" w:rsidR="007A6338" w:rsidRPr="00842A16" w:rsidRDefault="00912C4E" w:rsidP="00912C4E">
      <w:pPr>
        <w:tabs>
          <w:tab w:val="left" w:pos="360"/>
        </w:tabs>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 xml:space="preserve">Chief Procurement Officer </w:t>
      </w:r>
      <w:r w:rsidRPr="00842A16">
        <w:rPr>
          <w:rFonts w:ascii="Book Antiqua" w:eastAsia="Calibri" w:hAnsi="Book Antiqua" w:cs="Times New Roman"/>
          <w:bCs/>
          <w:color w:val="1F3864" w:themeColor="accent1" w:themeShade="80"/>
          <w:sz w:val="24"/>
          <w:szCs w:val="24"/>
        </w:rPr>
        <w:tab/>
      </w:r>
      <w:r w:rsidRPr="00842A16">
        <w:rPr>
          <w:rFonts w:ascii="Book Antiqua" w:eastAsia="Calibri" w:hAnsi="Book Antiqua" w:cs="Times New Roman"/>
          <w:bCs/>
          <w:color w:val="1F3864" w:themeColor="accent1" w:themeShade="80"/>
          <w:sz w:val="24"/>
          <w:szCs w:val="24"/>
        </w:rPr>
        <w:tab/>
      </w:r>
      <w:r w:rsidRPr="00842A16">
        <w:rPr>
          <w:rFonts w:ascii="Book Antiqua" w:eastAsia="Calibri" w:hAnsi="Book Antiqua" w:cs="Times New Roman"/>
          <w:bCs/>
          <w:color w:val="1F3864" w:themeColor="accent1" w:themeShade="80"/>
          <w:sz w:val="24"/>
          <w:szCs w:val="24"/>
        </w:rPr>
        <w:tab/>
      </w:r>
      <w:r w:rsidR="007A6338" w:rsidRPr="00842A16">
        <w:rPr>
          <w:rFonts w:ascii="Book Antiqua" w:eastAsia="Calibri" w:hAnsi="Book Antiqua" w:cs="Times New Roman"/>
          <w:bCs/>
          <w:color w:val="1F3864" w:themeColor="accent1" w:themeShade="80"/>
          <w:sz w:val="24"/>
          <w:szCs w:val="24"/>
        </w:rPr>
        <w:t>14</w:t>
      </w:r>
    </w:p>
    <w:p w14:paraId="405992EC" w14:textId="62F0DADB" w:rsidR="00912C4E" w:rsidRPr="00842A16" w:rsidRDefault="00912C4E" w:rsidP="00912C4E">
      <w:pPr>
        <w:tabs>
          <w:tab w:val="left" w:pos="360"/>
        </w:tabs>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 xml:space="preserve"> </w:t>
      </w:r>
      <w:r w:rsidR="007A6338" w:rsidRPr="00842A16">
        <w:rPr>
          <w:rFonts w:ascii="Book Antiqua" w:eastAsia="Calibri" w:hAnsi="Book Antiqua" w:cs="Times New Roman"/>
          <w:bCs/>
          <w:color w:val="1F3864" w:themeColor="accent1" w:themeShade="80"/>
          <w:sz w:val="24"/>
          <w:szCs w:val="24"/>
        </w:rPr>
        <w:t>Assistant Director (Procurement)</w:t>
      </w:r>
      <w:r w:rsidR="007A6338" w:rsidRPr="00842A16">
        <w:rPr>
          <w:rFonts w:ascii="Book Antiqua" w:eastAsia="Calibri" w:hAnsi="Book Antiqua" w:cs="Times New Roman"/>
          <w:bCs/>
          <w:color w:val="1F3864" w:themeColor="accent1" w:themeShade="80"/>
          <w:sz w:val="24"/>
          <w:szCs w:val="24"/>
        </w:rPr>
        <w:tab/>
      </w:r>
      <w:r w:rsidR="007A6338" w:rsidRPr="00842A16">
        <w:rPr>
          <w:rFonts w:ascii="Book Antiqua" w:eastAsia="Calibri" w:hAnsi="Book Antiqua" w:cs="Times New Roman"/>
          <w:bCs/>
          <w:color w:val="1F3864" w:themeColor="accent1" w:themeShade="80"/>
          <w:sz w:val="24"/>
          <w:szCs w:val="24"/>
        </w:rPr>
        <w:tab/>
        <w:t>15</w:t>
      </w:r>
    </w:p>
    <w:p w14:paraId="4D08FF90" w14:textId="16FDD684" w:rsidR="007A6338" w:rsidRPr="00842A16" w:rsidRDefault="007A6338" w:rsidP="00912C4E">
      <w:pPr>
        <w:tabs>
          <w:tab w:val="left" w:pos="360"/>
        </w:tabs>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Deputy Director (Procurement)</w:t>
      </w:r>
      <w:r w:rsidRPr="00842A16">
        <w:rPr>
          <w:rFonts w:ascii="Book Antiqua" w:eastAsia="Calibri" w:hAnsi="Book Antiqua" w:cs="Times New Roman"/>
          <w:bCs/>
          <w:color w:val="1F3864" w:themeColor="accent1" w:themeShade="80"/>
          <w:sz w:val="24"/>
          <w:szCs w:val="24"/>
        </w:rPr>
        <w:tab/>
      </w:r>
      <w:r w:rsidRPr="00842A16">
        <w:rPr>
          <w:rFonts w:ascii="Book Antiqua" w:eastAsia="Calibri" w:hAnsi="Book Antiqua" w:cs="Times New Roman"/>
          <w:bCs/>
          <w:color w:val="1F3864" w:themeColor="accent1" w:themeShade="80"/>
          <w:sz w:val="24"/>
          <w:szCs w:val="24"/>
        </w:rPr>
        <w:tab/>
        <w:t>16</w:t>
      </w:r>
    </w:p>
    <w:p w14:paraId="231B40D9" w14:textId="5FBC9EA3" w:rsidR="007A6338" w:rsidRPr="00842A16" w:rsidRDefault="007A6338" w:rsidP="00912C4E">
      <w:pPr>
        <w:tabs>
          <w:tab w:val="left" w:pos="360"/>
        </w:tabs>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Director (Procurement)</w:t>
      </w:r>
      <w:r w:rsidRPr="00842A16">
        <w:rPr>
          <w:rFonts w:ascii="Book Antiqua" w:eastAsia="Calibri" w:hAnsi="Book Antiqua" w:cs="Times New Roman"/>
          <w:bCs/>
          <w:color w:val="1F3864" w:themeColor="accent1" w:themeShade="80"/>
          <w:sz w:val="24"/>
          <w:szCs w:val="24"/>
        </w:rPr>
        <w:tab/>
      </w:r>
      <w:r w:rsidRPr="00842A16">
        <w:rPr>
          <w:rFonts w:ascii="Book Antiqua" w:eastAsia="Calibri" w:hAnsi="Book Antiqua" w:cs="Times New Roman"/>
          <w:bCs/>
          <w:color w:val="1F3864" w:themeColor="accent1" w:themeShade="80"/>
          <w:sz w:val="24"/>
          <w:szCs w:val="24"/>
        </w:rPr>
        <w:tab/>
      </w:r>
      <w:r w:rsidRPr="00842A16">
        <w:rPr>
          <w:rFonts w:ascii="Book Antiqua" w:eastAsia="Calibri" w:hAnsi="Book Antiqua" w:cs="Times New Roman"/>
          <w:bCs/>
          <w:color w:val="1F3864" w:themeColor="accent1" w:themeShade="80"/>
          <w:sz w:val="24"/>
          <w:szCs w:val="24"/>
        </w:rPr>
        <w:tab/>
        <w:t>17</w:t>
      </w:r>
    </w:p>
    <w:p w14:paraId="35002EC2" w14:textId="519A8D1B" w:rsidR="00912C4E" w:rsidRPr="00842A16" w:rsidRDefault="00912C4E" w:rsidP="003A254A">
      <w:pPr>
        <w:jc w:val="both"/>
        <w:rPr>
          <w:rFonts w:ascii="Book Antiqua" w:eastAsia="Calibri" w:hAnsi="Book Antiqua" w:cs="Times New Roman"/>
          <w:bCs/>
          <w:color w:val="1F3864" w:themeColor="accent1" w:themeShade="80"/>
          <w:sz w:val="24"/>
          <w:szCs w:val="24"/>
        </w:rPr>
      </w:pPr>
    </w:p>
    <w:p w14:paraId="3124235F" w14:textId="50E30F89" w:rsidR="0090444F" w:rsidRPr="00842A16" w:rsidRDefault="0090444F"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 xml:space="preserve">The </w:t>
      </w:r>
      <w:r w:rsidR="001A61CA" w:rsidRPr="00842A16">
        <w:rPr>
          <w:rFonts w:ascii="Book Antiqua" w:eastAsia="Calibri" w:hAnsi="Book Antiqua" w:cs="Times New Roman"/>
          <w:bCs/>
          <w:color w:val="1F3864" w:themeColor="accent1" w:themeShade="80"/>
          <w:sz w:val="24"/>
          <w:szCs w:val="24"/>
        </w:rPr>
        <w:t>current procurement staff</w:t>
      </w:r>
      <w:r w:rsidRPr="00842A16">
        <w:rPr>
          <w:rFonts w:ascii="Book Antiqua" w:eastAsia="Calibri" w:hAnsi="Book Antiqua" w:cs="Times New Roman"/>
          <w:bCs/>
          <w:color w:val="1F3864" w:themeColor="accent1" w:themeShade="80"/>
          <w:sz w:val="24"/>
          <w:szCs w:val="24"/>
        </w:rPr>
        <w:t xml:space="preserve"> of the agency </w:t>
      </w:r>
      <w:r w:rsidR="007D778E" w:rsidRPr="00842A16">
        <w:rPr>
          <w:rFonts w:ascii="Book Antiqua" w:eastAsia="Calibri" w:hAnsi="Book Antiqua" w:cs="Times New Roman"/>
          <w:bCs/>
          <w:color w:val="1F3864" w:themeColor="accent1" w:themeShade="80"/>
          <w:sz w:val="24"/>
          <w:szCs w:val="24"/>
        </w:rPr>
        <w:t>have</w:t>
      </w:r>
      <w:r w:rsidR="001A61CA" w:rsidRPr="00842A16">
        <w:rPr>
          <w:rFonts w:ascii="Book Antiqua" w:eastAsia="Calibri" w:hAnsi="Book Antiqua" w:cs="Times New Roman"/>
          <w:bCs/>
          <w:color w:val="1F3864" w:themeColor="accent1" w:themeShade="80"/>
          <w:sz w:val="24"/>
          <w:szCs w:val="24"/>
        </w:rPr>
        <w:t xml:space="preserve"> competences in </w:t>
      </w:r>
      <w:r w:rsidR="007D778E" w:rsidRPr="00842A16">
        <w:rPr>
          <w:rFonts w:ascii="Book Antiqua" w:eastAsia="Calibri" w:hAnsi="Book Antiqua" w:cs="Times New Roman"/>
          <w:bCs/>
          <w:color w:val="1F3864" w:themeColor="accent1" w:themeShade="80"/>
          <w:sz w:val="24"/>
          <w:szCs w:val="24"/>
        </w:rPr>
        <w:t>Banking and Finance, Economics</w:t>
      </w:r>
      <w:r w:rsidR="001A61CA" w:rsidRPr="00842A16">
        <w:rPr>
          <w:rFonts w:ascii="Book Antiqua" w:eastAsia="Calibri" w:hAnsi="Book Antiqua" w:cs="Times New Roman"/>
          <w:bCs/>
          <w:color w:val="1F3864" w:themeColor="accent1" w:themeShade="80"/>
          <w:sz w:val="24"/>
          <w:szCs w:val="24"/>
        </w:rPr>
        <w:t>,</w:t>
      </w:r>
      <w:r w:rsidR="007D778E" w:rsidRPr="00842A16">
        <w:rPr>
          <w:rFonts w:ascii="Book Antiqua" w:eastAsia="Calibri" w:hAnsi="Book Antiqua" w:cs="Times New Roman"/>
          <w:bCs/>
          <w:color w:val="1F3864" w:themeColor="accent1" w:themeShade="80"/>
          <w:sz w:val="24"/>
          <w:szCs w:val="24"/>
        </w:rPr>
        <w:t xml:space="preserve"> Statistics, Development, Business Administration, accounting, quantity Surveying, Business Administration</w:t>
      </w:r>
      <w:r w:rsidR="001A61CA" w:rsidRPr="00842A16">
        <w:rPr>
          <w:rFonts w:ascii="Book Antiqua" w:eastAsia="Calibri" w:hAnsi="Book Antiqua" w:cs="Times New Roman"/>
          <w:bCs/>
          <w:color w:val="1F3864" w:themeColor="accent1" w:themeShade="80"/>
          <w:sz w:val="24"/>
          <w:szCs w:val="24"/>
        </w:rPr>
        <w:t>,</w:t>
      </w:r>
      <w:r w:rsidR="007D778E" w:rsidRPr="00842A16">
        <w:rPr>
          <w:rFonts w:ascii="Book Antiqua" w:eastAsia="Calibri" w:hAnsi="Book Antiqua" w:cs="Times New Roman"/>
          <w:bCs/>
          <w:color w:val="1F3864" w:themeColor="accent1" w:themeShade="80"/>
          <w:sz w:val="24"/>
          <w:szCs w:val="24"/>
        </w:rPr>
        <w:t xml:space="preserve"> Project management</w:t>
      </w:r>
      <w:r w:rsidR="001A61CA" w:rsidRPr="00842A16">
        <w:rPr>
          <w:rFonts w:ascii="Book Antiqua" w:eastAsia="Calibri" w:hAnsi="Book Antiqua" w:cs="Times New Roman"/>
          <w:bCs/>
          <w:color w:val="1F3864" w:themeColor="accent1" w:themeShade="80"/>
          <w:sz w:val="24"/>
          <w:szCs w:val="24"/>
        </w:rPr>
        <w:t xml:space="preserve"> and Public Administration.</w:t>
      </w:r>
    </w:p>
    <w:p w14:paraId="51EBEAA3" w14:textId="31D7EB63" w:rsidR="00912C4E" w:rsidRPr="00842A16" w:rsidRDefault="00912C4E" w:rsidP="003A254A">
      <w:pPr>
        <w:jc w:val="both"/>
        <w:rPr>
          <w:rFonts w:ascii="Book Antiqua" w:eastAsia="Calibri" w:hAnsi="Book Antiqua" w:cs="Times New Roman"/>
          <w:bCs/>
          <w:color w:val="1F3864" w:themeColor="accent1" w:themeShade="80"/>
          <w:sz w:val="24"/>
          <w:szCs w:val="24"/>
        </w:rPr>
      </w:pPr>
    </w:p>
    <w:p w14:paraId="436E0F07" w14:textId="43E8F646" w:rsidR="001A61CA" w:rsidRPr="00842A16" w:rsidRDefault="00533E0F" w:rsidP="00B2295B">
      <w:pPr>
        <w:jc w:val="center"/>
        <w:rPr>
          <w:rFonts w:ascii="Book Antiqua" w:eastAsia="Calibri" w:hAnsi="Book Antiqua" w:cs="Times New Roman"/>
          <w:b/>
          <w:color w:val="1F3864" w:themeColor="accent1" w:themeShade="80"/>
          <w:sz w:val="24"/>
          <w:szCs w:val="24"/>
        </w:rPr>
      </w:pPr>
      <w:bookmarkStart w:id="1" w:name="_Hlk113891028"/>
      <w:r w:rsidRPr="00842A16">
        <w:rPr>
          <w:rFonts w:ascii="Book Antiqua" w:eastAsia="Calibri" w:hAnsi="Book Antiqua" w:cs="Times New Roman"/>
          <w:b/>
          <w:color w:val="1F3864" w:themeColor="accent1" w:themeShade="80"/>
          <w:sz w:val="24"/>
          <w:szCs w:val="24"/>
        </w:rPr>
        <w:t>Review of E</w:t>
      </w:r>
      <w:r w:rsidR="00082AC9" w:rsidRPr="00842A16">
        <w:rPr>
          <w:rFonts w:ascii="Book Antiqua" w:eastAsia="Calibri" w:hAnsi="Book Antiqua" w:cs="Times New Roman"/>
          <w:b/>
          <w:color w:val="1F3864" w:themeColor="accent1" w:themeShade="80"/>
          <w:sz w:val="24"/>
          <w:szCs w:val="24"/>
        </w:rPr>
        <w:t xml:space="preserve">do State </w:t>
      </w:r>
      <w:r w:rsidRPr="00842A16">
        <w:rPr>
          <w:rFonts w:ascii="Book Antiqua" w:eastAsia="Calibri" w:hAnsi="Book Antiqua" w:cs="Times New Roman"/>
          <w:b/>
          <w:color w:val="1F3864" w:themeColor="accent1" w:themeShade="80"/>
          <w:sz w:val="24"/>
          <w:szCs w:val="24"/>
        </w:rPr>
        <w:t>P</w:t>
      </w:r>
      <w:r w:rsidR="00082AC9" w:rsidRPr="00842A16">
        <w:rPr>
          <w:rFonts w:ascii="Book Antiqua" w:eastAsia="Calibri" w:hAnsi="Book Antiqua" w:cs="Times New Roman"/>
          <w:b/>
          <w:color w:val="1F3864" w:themeColor="accent1" w:themeShade="80"/>
          <w:sz w:val="24"/>
          <w:szCs w:val="24"/>
        </w:rPr>
        <w:t xml:space="preserve">ublic </w:t>
      </w:r>
      <w:r w:rsidRPr="00842A16">
        <w:rPr>
          <w:rFonts w:ascii="Book Antiqua" w:eastAsia="Calibri" w:hAnsi="Book Antiqua" w:cs="Times New Roman"/>
          <w:b/>
          <w:color w:val="1F3864" w:themeColor="accent1" w:themeShade="80"/>
          <w:sz w:val="24"/>
          <w:szCs w:val="24"/>
        </w:rPr>
        <w:t>P</w:t>
      </w:r>
      <w:r w:rsidR="00082AC9" w:rsidRPr="00842A16">
        <w:rPr>
          <w:rFonts w:ascii="Book Antiqua" w:eastAsia="Calibri" w:hAnsi="Book Antiqua" w:cs="Times New Roman"/>
          <w:b/>
          <w:color w:val="1F3864" w:themeColor="accent1" w:themeShade="80"/>
          <w:sz w:val="24"/>
          <w:szCs w:val="24"/>
        </w:rPr>
        <w:t xml:space="preserve">rocurement </w:t>
      </w:r>
      <w:r w:rsidRPr="00842A16">
        <w:rPr>
          <w:rFonts w:ascii="Book Antiqua" w:eastAsia="Calibri" w:hAnsi="Book Antiqua" w:cs="Times New Roman"/>
          <w:b/>
          <w:color w:val="1F3864" w:themeColor="accent1" w:themeShade="80"/>
          <w:sz w:val="24"/>
          <w:szCs w:val="24"/>
        </w:rPr>
        <w:t>A</w:t>
      </w:r>
      <w:r w:rsidR="00082AC9" w:rsidRPr="00842A16">
        <w:rPr>
          <w:rFonts w:ascii="Book Antiqua" w:eastAsia="Calibri" w:hAnsi="Book Antiqua" w:cs="Times New Roman"/>
          <w:b/>
          <w:color w:val="1F3864" w:themeColor="accent1" w:themeShade="80"/>
          <w:sz w:val="24"/>
          <w:szCs w:val="24"/>
        </w:rPr>
        <w:t>gency</w:t>
      </w:r>
      <w:r w:rsidRPr="00842A16">
        <w:rPr>
          <w:rFonts w:ascii="Book Antiqua" w:eastAsia="Calibri" w:hAnsi="Book Antiqua" w:cs="Times New Roman"/>
          <w:b/>
          <w:color w:val="1F3864" w:themeColor="accent1" w:themeShade="80"/>
          <w:sz w:val="24"/>
          <w:szCs w:val="24"/>
        </w:rPr>
        <w:t xml:space="preserve"> </w:t>
      </w:r>
      <w:r w:rsidR="001A61CA" w:rsidRPr="00842A16">
        <w:rPr>
          <w:rFonts w:ascii="Book Antiqua" w:eastAsia="Calibri" w:hAnsi="Book Antiqua" w:cs="Times New Roman"/>
          <w:b/>
          <w:color w:val="1F3864" w:themeColor="accent1" w:themeShade="80"/>
          <w:sz w:val="24"/>
          <w:szCs w:val="24"/>
        </w:rPr>
        <w:t>Policy Framework</w:t>
      </w:r>
    </w:p>
    <w:p w14:paraId="4A0D9063" w14:textId="0FA7453A" w:rsidR="00533E0F" w:rsidRPr="00842A16" w:rsidRDefault="00533E0F" w:rsidP="003A254A">
      <w:pPr>
        <w:jc w:val="both"/>
        <w:rPr>
          <w:rFonts w:ascii="Book Antiqua" w:eastAsia="Calibri" w:hAnsi="Book Antiqua" w:cs="Times New Roman"/>
          <w:b/>
          <w:i/>
          <w:iCs/>
          <w:color w:val="1F3864" w:themeColor="accent1" w:themeShade="80"/>
          <w:sz w:val="24"/>
          <w:szCs w:val="24"/>
        </w:rPr>
      </w:pPr>
      <w:bookmarkStart w:id="2" w:name="_Hlk113891038"/>
      <w:bookmarkEnd w:id="1"/>
      <w:r w:rsidRPr="00842A16">
        <w:rPr>
          <w:rFonts w:ascii="Book Antiqua" w:eastAsia="Calibri" w:hAnsi="Book Antiqua" w:cs="Times New Roman"/>
          <w:b/>
          <w:i/>
          <w:iCs/>
          <w:color w:val="1F3864" w:themeColor="accent1" w:themeShade="80"/>
          <w:sz w:val="24"/>
          <w:szCs w:val="24"/>
        </w:rPr>
        <w:t>Preamble</w:t>
      </w:r>
    </w:p>
    <w:bookmarkEnd w:id="2"/>
    <w:p w14:paraId="1362B79D" w14:textId="60F9E11A" w:rsidR="00EF1CF4" w:rsidRPr="00842A16" w:rsidRDefault="001A61CA" w:rsidP="003A254A">
      <w:pPr>
        <w:jc w:val="both"/>
        <w:rPr>
          <w:rFonts w:ascii="Book Antiqua" w:eastAsia="Calibri" w:hAnsi="Book Antiqua" w:cs="Times New Roman"/>
          <w:bCs/>
          <w:color w:val="1F3864" w:themeColor="accent1" w:themeShade="80"/>
          <w:sz w:val="24"/>
          <w:szCs w:val="24"/>
          <w:lang w:val="en-GB"/>
        </w:rPr>
      </w:pPr>
      <w:r w:rsidRPr="00842A16">
        <w:rPr>
          <w:rFonts w:ascii="Book Antiqua" w:eastAsia="Calibri" w:hAnsi="Book Antiqua" w:cs="Times New Roman"/>
          <w:bCs/>
          <w:color w:val="1F3864" w:themeColor="accent1" w:themeShade="80"/>
          <w:sz w:val="24"/>
          <w:szCs w:val="24"/>
        </w:rPr>
        <w:t xml:space="preserve">The </w:t>
      </w:r>
      <w:r w:rsidR="00F56BD7" w:rsidRPr="00842A16">
        <w:rPr>
          <w:rFonts w:ascii="Book Antiqua" w:eastAsia="Calibri" w:hAnsi="Book Antiqua" w:cs="Times New Roman"/>
          <w:bCs/>
          <w:color w:val="1F3864" w:themeColor="accent1" w:themeShade="80"/>
          <w:sz w:val="24"/>
          <w:szCs w:val="24"/>
        </w:rPr>
        <w:t xml:space="preserve">Edo State Procurement Agency is primarily guided by the </w:t>
      </w:r>
      <w:bookmarkStart w:id="3" w:name="_Hlk113680893"/>
      <w:r w:rsidR="00F56BD7" w:rsidRPr="00842A16">
        <w:rPr>
          <w:rFonts w:ascii="Book Antiqua" w:eastAsia="Calibri" w:hAnsi="Book Antiqua" w:cs="Times New Roman"/>
          <w:bCs/>
          <w:color w:val="1F3864" w:themeColor="accent1" w:themeShade="80"/>
          <w:sz w:val="24"/>
          <w:szCs w:val="24"/>
        </w:rPr>
        <w:t>Public Procurement (Repeal and Re-enactment) Law 2020</w:t>
      </w:r>
      <w:bookmarkEnd w:id="3"/>
      <w:r w:rsidR="00F56BD7" w:rsidRPr="00842A16">
        <w:rPr>
          <w:rFonts w:ascii="Book Antiqua" w:eastAsia="Calibri" w:hAnsi="Book Antiqua" w:cs="Times New Roman"/>
          <w:bCs/>
          <w:color w:val="1F3864" w:themeColor="accent1" w:themeShade="80"/>
          <w:sz w:val="24"/>
          <w:szCs w:val="24"/>
        </w:rPr>
        <w:t xml:space="preserve"> </w:t>
      </w:r>
      <w:r w:rsidR="00AD4540" w:rsidRPr="00842A16">
        <w:rPr>
          <w:rFonts w:ascii="Book Antiqua" w:eastAsia="Calibri" w:hAnsi="Book Antiqua" w:cs="Times New Roman"/>
          <w:bCs/>
          <w:color w:val="1F3864" w:themeColor="accent1" w:themeShade="80"/>
          <w:sz w:val="24"/>
          <w:szCs w:val="24"/>
        </w:rPr>
        <w:t xml:space="preserve">which became effective </w:t>
      </w:r>
      <w:r w:rsidR="00575B7F" w:rsidRPr="00842A16">
        <w:rPr>
          <w:rFonts w:ascii="Book Antiqua" w:eastAsia="Calibri" w:hAnsi="Book Antiqua" w:cs="Times New Roman"/>
          <w:bCs/>
          <w:color w:val="1F3864" w:themeColor="accent1" w:themeShade="80"/>
          <w:sz w:val="24"/>
          <w:szCs w:val="24"/>
        </w:rPr>
        <w:t>on August 26, 2020. In lin</w:t>
      </w:r>
      <w:r w:rsidR="00592815">
        <w:rPr>
          <w:rFonts w:ascii="Book Antiqua" w:eastAsia="Calibri" w:hAnsi="Book Antiqua" w:cs="Times New Roman"/>
          <w:bCs/>
          <w:color w:val="1F3864" w:themeColor="accent1" w:themeShade="80"/>
          <w:sz w:val="24"/>
          <w:szCs w:val="24"/>
        </w:rPr>
        <w:t>e</w:t>
      </w:r>
      <w:r w:rsidR="00575B7F" w:rsidRPr="00842A16">
        <w:rPr>
          <w:rFonts w:ascii="Book Antiqua" w:eastAsia="Calibri" w:hAnsi="Book Antiqua" w:cs="Times New Roman"/>
          <w:bCs/>
          <w:color w:val="1F3864" w:themeColor="accent1" w:themeShade="80"/>
          <w:sz w:val="24"/>
          <w:szCs w:val="24"/>
        </w:rPr>
        <w:t xml:space="preserve"> with the provisions of this law, the agency subsequently established some subsidiary legislation to help in its regulations of the procurement processes in the state. These include the </w:t>
      </w:r>
      <w:r w:rsidR="001636ED" w:rsidRPr="00842A16">
        <w:rPr>
          <w:rFonts w:ascii="Book Antiqua" w:eastAsia="Calibri" w:hAnsi="Book Antiqua" w:cs="Times New Roman"/>
          <w:bCs/>
          <w:color w:val="1F3864" w:themeColor="accent1" w:themeShade="80"/>
          <w:sz w:val="24"/>
          <w:szCs w:val="24"/>
        </w:rPr>
        <w:t xml:space="preserve">Procurement Procedures Manual, the </w:t>
      </w:r>
      <w:r w:rsidR="001636ED" w:rsidRPr="00842A16">
        <w:rPr>
          <w:rFonts w:ascii="Book Antiqua" w:eastAsia="Calibri" w:hAnsi="Book Antiqua" w:cs="Times New Roman"/>
          <w:bCs/>
          <w:color w:val="1F3864" w:themeColor="accent1" w:themeShade="80"/>
          <w:sz w:val="24"/>
          <w:szCs w:val="24"/>
          <w:lang w:val="en-GB"/>
        </w:rPr>
        <w:t>Open Contracting Data Standard (OCDS) Publication Policy, the monetary thresholds, the Standard Bidding Document</w:t>
      </w:r>
      <w:r w:rsidR="00592815">
        <w:rPr>
          <w:rFonts w:ascii="Book Antiqua" w:eastAsia="Calibri" w:hAnsi="Book Antiqua" w:cs="Times New Roman"/>
          <w:bCs/>
          <w:color w:val="1F3864" w:themeColor="accent1" w:themeShade="80"/>
          <w:sz w:val="24"/>
          <w:szCs w:val="24"/>
          <w:lang w:val="en-GB"/>
        </w:rPr>
        <w:t>s</w:t>
      </w:r>
      <w:r w:rsidR="001636ED" w:rsidRPr="00842A16">
        <w:rPr>
          <w:rFonts w:ascii="Book Antiqua" w:eastAsia="Calibri" w:hAnsi="Book Antiqua" w:cs="Times New Roman"/>
          <w:bCs/>
          <w:color w:val="1F3864" w:themeColor="accent1" w:themeShade="80"/>
          <w:sz w:val="24"/>
          <w:szCs w:val="24"/>
          <w:lang w:val="en-GB"/>
        </w:rPr>
        <w:t xml:space="preserve"> for the Procurement of Civil Works</w:t>
      </w:r>
      <w:r w:rsidR="0095741D" w:rsidRPr="00842A16">
        <w:rPr>
          <w:rFonts w:ascii="Book Antiqua" w:eastAsia="Calibri" w:hAnsi="Book Antiqua" w:cs="Times New Roman"/>
          <w:bCs/>
          <w:color w:val="1F3864" w:themeColor="accent1" w:themeShade="80"/>
          <w:sz w:val="24"/>
          <w:szCs w:val="24"/>
          <w:lang w:val="en-GB"/>
        </w:rPr>
        <w:t>, Standard Bidding Document</w:t>
      </w:r>
      <w:r w:rsidR="00592815">
        <w:rPr>
          <w:rFonts w:ascii="Book Antiqua" w:eastAsia="Calibri" w:hAnsi="Book Antiqua" w:cs="Times New Roman"/>
          <w:bCs/>
          <w:color w:val="1F3864" w:themeColor="accent1" w:themeShade="80"/>
          <w:sz w:val="24"/>
          <w:szCs w:val="24"/>
          <w:lang w:val="en-GB"/>
        </w:rPr>
        <w:t>s</w:t>
      </w:r>
      <w:r w:rsidR="0095741D" w:rsidRPr="00842A16">
        <w:rPr>
          <w:rFonts w:ascii="Book Antiqua" w:eastAsia="Calibri" w:hAnsi="Book Antiqua" w:cs="Times New Roman"/>
          <w:bCs/>
          <w:color w:val="1F3864" w:themeColor="accent1" w:themeShade="80"/>
          <w:sz w:val="24"/>
          <w:szCs w:val="24"/>
          <w:lang w:val="en-GB"/>
        </w:rPr>
        <w:t xml:space="preserve"> for the Procurement of Goods, and the Standard Request for Proposals for the selection of consultants.</w:t>
      </w:r>
    </w:p>
    <w:p w14:paraId="7BFA7F53" w14:textId="77777777" w:rsidR="0095741D" w:rsidRPr="00842A16" w:rsidRDefault="0095741D" w:rsidP="003A254A">
      <w:pPr>
        <w:jc w:val="both"/>
        <w:rPr>
          <w:rFonts w:ascii="Book Antiqua" w:eastAsia="Calibri" w:hAnsi="Book Antiqua" w:cs="Times New Roman"/>
          <w:b/>
          <w:color w:val="1F3864" w:themeColor="accent1" w:themeShade="80"/>
          <w:sz w:val="24"/>
          <w:szCs w:val="24"/>
        </w:rPr>
      </w:pPr>
    </w:p>
    <w:p w14:paraId="3917A15D" w14:textId="1799A277" w:rsidR="0095741D" w:rsidRPr="00842A16" w:rsidRDefault="0095741D" w:rsidP="003A254A">
      <w:pPr>
        <w:jc w:val="both"/>
        <w:rPr>
          <w:rFonts w:ascii="Book Antiqua" w:eastAsia="Calibri" w:hAnsi="Book Antiqua" w:cs="Times New Roman"/>
          <w:b/>
          <w:color w:val="1F3864" w:themeColor="accent1" w:themeShade="80"/>
          <w:sz w:val="24"/>
          <w:szCs w:val="24"/>
        </w:rPr>
      </w:pPr>
      <w:bookmarkStart w:id="4" w:name="_Hlk113891050"/>
      <w:r w:rsidRPr="00842A16">
        <w:rPr>
          <w:rFonts w:ascii="Book Antiqua" w:eastAsia="Calibri" w:hAnsi="Book Antiqua" w:cs="Times New Roman"/>
          <w:b/>
          <w:color w:val="1F3864" w:themeColor="accent1" w:themeShade="80"/>
          <w:sz w:val="24"/>
          <w:szCs w:val="24"/>
        </w:rPr>
        <w:t>Public Procurement (Repeal and Re-enactment) Law 2020</w:t>
      </w:r>
    </w:p>
    <w:bookmarkEnd w:id="4"/>
    <w:p w14:paraId="79010597" w14:textId="31D7D541" w:rsidR="00EF1CF4" w:rsidRPr="00842A16" w:rsidRDefault="00AD1BB3"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 xml:space="preserve">The Public Procurement (Repeal and Re-enactment) Law 2020 </w:t>
      </w:r>
      <w:r w:rsidR="00592815">
        <w:rPr>
          <w:rFonts w:ascii="Book Antiqua" w:eastAsia="Calibri" w:hAnsi="Book Antiqua" w:cs="Times New Roman"/>
          <w:bCs/>
          <w:color w:val="1F3864" w:themeColor="accent1" w:themeShade="80"/>
          <w:sz w:val="24"/>
          <w:szCs w:val="24"/>
        </w:rPr>
        <w:t>is structured into</w:t>
      </w:r>
      <w:r w:rsidRPr="00842A16">
        <w:rPr>
          <w:rFonts w:ascii="Book Antiqua" w:eastAsia="Calibri" w:hAnsi="Book Antiqua" w:cs="Times New Roman"/>
          <w:bCs/>
          <w:color w:val="1F3864" w:themeColor="accent1" w:themeShade="80"/>
          <w:sz w:val="24"/>
          <w:szCs w:val="24"/>
        </w:rPr>
        <w:t xml:space="preserve"> </w:t>
      </w:r>
      <w:r w:rsidR="00592815" w:rsidRPr="00842A16">
        <w:rPr>
          <w:rFonts w:ascii="Book Antiqua" w:eastAsia="Calibri" w:hAnsi="Book Antiqua" w:cs="Times New Roman"/>
          <w:bCs/>
          <w:color w:val="1F3864" w:themeColor="accent1" w:themeShade="80"/>
          <w:sz w:val="24"/>
          <w:szCs w:val="24"/>
        </w:rPr>
        <w:t xml:space="preserve">10 parts </w:t>
      </w:r>
      <w:r w:rsidR="00592815">
        <w:rPr>
          <w:rFonts w:ascii="Book Antiqua" w:eastAsia="Calibri" w:hAnsi="Book Antiqua" w:cs="Times New Roman"/>
          <w:bCs/>
          <w:color w:val="1F3864" w:themeColor="accent1" w:themeShade="80"/>
          <w:sz w:val="24"/>
          <w:szCs w:val="24"/>
        </w:rPr>
        <w:t xml:space="preserve">with </w:t>
      </w:r>
      <w:r w:rsidR="00592815" w:rsidRPr="00842A16">
        <w:rPr>
          <w:rFonts w:ascii="Book Antiqua" w:eastAsia="Calibri" w:hAnsi="Book Antiqua" w:cs="Times New Roman"/>
          <w:bCs/>
          <w:color w:val="1F3864" w:themeColor="accent1" w:themeShade="80"/>
          <w:sz w:val="24"/>
          <w:szCs w:val="24"/>
        </w:rPr>
        <w:t>75 Sections</w:t>
      </w:r>
      <w:r w:rsidRPr="00842A16">
        <w:rPr>
          <w:rFonts w:ascii="Book Antiqua" w:eastAsia="Calibri" w:hAnsi="Book Antiqua" w:cs="Times New Roman"/>
          <w:bCs/>
          <w:color w:val="1F3864" w:themeColor="accent1" w:themeShade="80"/>
          <w:sz w:val="24"/>
          <w:szCs w:val="24"/>
        </w:rPr>
        <w:t xml:space="preserve">. </w:t>
      </w:r>
      <w:r w:rsidR="00274AF4" w:rsidRPr="00842A16">
        <w:rPr>
          <w:rFonts w:ascii="Book Antiqua" w:eastAsia="Calibri" w:hAnsi="Book Antiqua" w:cs="Times New Roman"/>
          <w:bCs/>
          <w:color w:val="1F3864" w:themeColor="accent1" w:themeShade="80"/>
          <w:sz w:val="24"/>
          <w:szCs w:val="24"/>
        </w:rPr>
        <w:t>The division is as follows:</w:t>
      </w:r>
    </w:p>
    <w:tbl>
      <w:tblPr>
        <w:tblStyle w:val="TableGrid"/>
        <w:tblW w:w="0" w:type="auto"/>
        <w:tblLook w:val="04A0" w:firstRow="1" w:lastRow="0" w:firstColumn="1" w:lastColumn="0" w:noHBand="0" w:noVBand="1"/>
      </w:tblPr>
      <w:tblGrid>
        <w:gridCol w:w="1165"/>
        <w:gridCol w:w="8185"/>
      </w:tblGrid>
      <w:tr w:rsidR="00842A16" w:rsidRPr="00842A16" w14:paraId="385942D5" w14:textId="77777777" w:rsidTr="00274AF4">
        <w:tc>
          <w:tcPr>
            <w:tcW w:w="1165" w:type="dxa"/>
          </w:tcPr>
          <w:p w14:paraId="0C04F986" w14:textId="39356562" w:rsidR="00274AF4" w:rsidRPr="00842A16" w:rsidRDefault="00274AF4"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Part I</w:t>
            </w:r>
          </w:p>
        </w:tc>
        <w:tc>
          <w:tcPr>
            <w:tcW w:w="8185" w:type="dxa"/>
          </w:tcPr>
          <w:p w14:paraId="35E54A1E" w14:textId="0BF2F16A" w:rsidR="00274AF4" w:rsidRPr="00842A16" w:rsidRDefault="00274AF4"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Establishment of the Public Procurement Agency</w:t>
            </w:r>
          </w:p>
        </w:tc>
      </w:tr>
      <w:tr w:rsidR="00842A16" w:rsidRPr="00842A16" w14:paraId="37972D63" w14:textId="77777777" w:rsidTr="00274AF4">
        <w:tc>
          <w:tcPr>
            <w:tcW w:w="1165" w:type="dxa"/>
          </w:tcPr>
          <w:p w14:paraId="35A8B83F" w14:textId="6F9B90C6" w:rsidR="00274AF4" w:rsidRPr="00842A16" w:rsidRDefault="00274AF4"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Part II</w:t>
            </w:r>
          </w:p>
        </w:tc>
        <w:tc>
          <w:tcPr>
            <w:tcW w:w="8185" w:type="dxa"/>
          </w:tcPr>
          <w:p w14:paraId="24B10EF2" w14:textId="2994212D" w:rsidR="00274AF4" w:rsidRPr="00842A16" w:rsidRDefault="00274AF4"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Fundamental Rules of Public Procurement</w:t>
            </w:r>
          </w:p>
        </w:tc>
      </w:tr>
      <w:tr w:rsidR="00842A16" w:rsidRPr="00842A16" w14:paraId="128CE34D" w14:textId="77777777" w:rsidTr="00274AF4">
        <w:tc>
          <w:tcPr>
            <w:tcW w:w="1165" w:type="dxa"/>
          </w:tcPr>
          <w:p w14:paraId="29438738" w14:textId="50D93A4A" w:rsidR="00274AF4" w:rsidRPr="00842A16" w:rsidRDefault="00274AF4"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Part III</w:t>
            </w:r>
          </w:p>
        </w:tc>
        <w:tc>
          <w:tcPr>
            <w:tcW w:w="8185" w:type="dxa"/>
          </w:tcPr>
          <w:p w14:paraId="1EA74849" w14:textId="12108EA7" w:rsidR="00274AF4" w:rsidRPr="00842A16" w:rsidRDefault="00274AF4"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Organization of Procurement</w:t>
            </w:r>
          </w:p>
        </w:tc>
      </w:tr>
      <w:tr w:rsidR="00842A16" w:rsidRPr="00842A16" w14:paraId="352B3422" w14:textId="77777777" w:rsidTr="00274AF4">
        <w:tc>
          <w:tcPr>
            <w:tcW w:w="1165" w:type="dxa"/>
          </w:tcPr>
          <w:p w14:paraId="3D0480E5" w14:textId="5FB66D8D" w:rsidR="00274AF4" w:rsidRPr="00842A16" w:rsidRDefault="00274AF4"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Part IV</w:t>
            </w:r>
          </w:p>
        </w:tc>
        <w:tc>
          <w:tcPr>
            <w:tcW w:w="8185" w:type="dxa"/>
          </w:tcPr>
          <w:p w14:paraId="70D1A170" w14:textId="204C2E97" w:rsidR="00274AF4" w:rsidRPr="00842A16" w:rsidRDefault="00533E0F"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Procurement Methods</w:t>
            </w:r>
          </w:p>
        </w:tc>
      </w:tr>
      <w:tr w:rsidR="00842A16" w:rsidRPr="00842A16" w14:paraId="35173663" w14:textId="77777777" w:rsidTr="00274AF4">
        <w:tc>
          <w:tcPr>
            <w:tcW w:w="1165" w:type="dxa"/>
          </w:tcPr>
          <w:p w14:paraId="0ECD2A9A" w14:textId="6506DBD9" w:rsidR="00533E0F" w:rsidRPr="00842A16" w:rsidRDefault="00533E0F"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Part V</w:t>
            </w:r>
          </w:p>
        </w:tc>
        <w:tc>
          <w:tcPr>
            <w:tcW w:w="8185" w:type="dxa"/>
          </w:tcPr>
          <w:p w14:paraId="6FE81269" w14:textId="312708E4" w:rsidR="00533E0F" w:rsidRPr="00842A16" w:rsidRDefault="00533E0F"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Special and Restricted Methods of Procurement</w:t>
            </w:r>
          </w:p>
        </w:tc>
      </w:tr>
      <w:tr w:rsidR="00842A16" w:rsidRPr="00842A16" w14:paraId="2792F0DA" w14:textId="77777777" w:rsidTr="00274AF4">
        <w:tc>
          <w:tcPr>
            <w:tcW w:w="1165" w:type="dxa"/>
          </w:tcPr>
          <w:p w14:paraId="2B99960D" w14:textId="7A8870A3" w:rsidR="00533E0F" w:rsidRPr="00842A16" w:rsidRDefault="00533E0F"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Part VI</w:t>
            </w:r>
          </w:p>
        </w:tc>
        <w:tc>
          <w:tcPr>
            <w:tcW w:w="8185" w:type="dxa"/>
          </w:tcPr>
          <w:p w14:paraId="3E1E32E3" w14:textId="2C00DD45" w:rsidR="00533E0F" w:rsidRPr="00842A16" w:rsidRDefault="00533E0F"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Procurement of Consultancy Services</w:t>
            </w:r>
          </w:p>
        </w:tc>
      </w:tr>
      <w:tr w:rsidR="00842A16" w:rsidRPr="00842A16" w14:paraId="63693921" w14:textId="77777777" w:rsidTr="00274AF4">
        <w:tc>
          <w:tcPr>
            <w:tcW w:w="1165" w:type="dxa"/>
          </w:tcPr>
          <w:p w14:paraId="344657BA" w14:textId="5735AD8F" w:rsidR="00533E0F" w:rsidRPr="00842A16" w:rsidRDefault="00533E0F"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Part VII</w:t>
            </w:r>
          </w:p>
        </w:tc>
        <w:tc>
          <w:tcPr>
            <w:tcW w:w="8185" w:type="dxa"/>
          </w:tcPr>
          <w:p w14:paraId="09A03DA3" w14:textId="0163410C" w:rsidR="00533E0F" w:rsidRPr="00842A16" w:rsidRDefault="00533E0F"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Security for the Performance of Procurement Contracts</w:t>
            </w:r>
          </w:p>
        </w:tc>
      </w:tr>
      <w:tr w:rsidR="00842A16" w:rsidRPr="00842A16" w14:paraId="55B5317B" w14:textId="77777777" w:rsidTr="00274AF4">
        <w:tc>
          <w:tcPr>
            <w:tcW w:w="1165" w:type="dxa"/>
          </w:tcPr>
          <w:p w14:paraId="1D292B33" w14:textId="624E246E" w:rsidR="00533E0F" w:rsidRPr="00842A16" w:rsidRDefault="00533E0F"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Part VIII</w:t>
            </w:r>
          </w:p>
        </w:tc>
        <w:tc>
          <w:tcPr>
            <w:tcW w:w="8185" w:type="dxa"/>
          </w:tcPr>
          <w:p w14:paraId="4F6AF7E7" w14:textId="5398714D" w:rsidR="003F1825" w:rsidRPr="00842A16" w:rsidRDefault="00533E0F"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Procurement Surveillance and Review</w:t>
            </w:r>
          </w:p>
        </w:tc>
      </w:tr>
      <w:tr w:rsidR="00842A16" w:rsidRPr="00842A16" w14:paraId="40C8F41E" w14:textId="77777777" w:rsidTr="00274AF4">
        <w:tc>
          <w:tcPr>
            <w:tcW w:w="1165" w:type="dxa"/>
          </w:tcPr>
          <w:p w14:paraId="657E4D44" w14:textId="16599F36" w:rsidR="003F1825" w:rsidRPr="00842A16" w:rsidRDefault="003F1825"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Part IX</w:t>
            </w:r>
          </w:p>
        </w:tc>
        <w:tc>
          <w:tcPr>
            <w:tcW w:w="8185" w:type="dxa"/>
          </w:tcPr>
          <w:p w14:paraId="396708CA" w14:textId="3921F2F9" w:rsidR="003F1825" w:rsidRPr="00842A16" w:rsidRDefault="003F1825"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Disposal of Public Property</w:t>
            </w:r>
          </w:p>
        </w:tc>
      </w:tr>
      <w:tr w:rsidR="00842A16" w:rsidRPr="00842A16" w14:paraId="598DD785" w14:textId="77777777" w:rsidTr="00274AF4">
        <w:tc>
          <w:tcPr>
            <w:tcW w:w="1165" w:type="dxa"/>
          </w:tcPr>
          <w:p w14:paraId="6FD1D031" w14:textId="1AC8F8A3" w:rsidR="003F1825" w:rsidRPr="00842A16" w:rsidRDefault="003F1825"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Part X</w:t>
            </w:r>
          </w:p>
        </w:tc>
        <w:tc>
          <w:tcPr>
            <w:tcW w:w="8185" w:type="dxa"/>
          </w:tcPr>
          <w:p w14:paraId="5F2CED06" w14:textId="0187DB2D" w:rsidR="003F1825" w:rsidRPr="00842A16" w:rsidRDefault="003F1825"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Code of Conduct</w:t>
            </w:r>
          </w:p>
        </w:tc>
      </w:tr>
      <w:tr w:rsidR="00842A16" w:rsidRPr="00842A16" w14:paraId="0EC86D8E" w14:textId="77777777" w:rsidTr="00274AF4">
        <w:tc>
          <w:tcPr>
            <w:tcW w:w="1165" w:type="dxa"/>
          </w:tcPr>
          <w:p w14:paraId="086721C3" w14:textId="7F4C8343" w:rsidR="001D0ED6" w:rsidRPr="00842A16" w:rsidRDefault="00A97757"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Part XI</w:t>
            </w:r>
          </w:p>
        </w:tc>
        <w:tc>
          <w:tcPr>
            <w:tcW w:w="8185" w:type="dxa"/>
          </w:tcPr>
          <w:p w14:paraId="7786F095" w14:textId="2C433890" w:rsidR="001D0ED6" w:rsidRPr="00842A16" w:rsidRDefault="00A97757"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Offences and Penalties</w:t>
            </w:r>
            <w:r w:rsidR="005C2FDB" w:rsidRPr="00842A16">
              <w:rPr>
                <w:rFonts w:ascii="Book Antiqua" w:eastAsia="Calibri" w:hAnsi="Book Antiqua" w:cs="Times New Roman"/>
                <w:bCs/>
                <w:color w:val="1F3864" w:themeColor="accent1" w:themeShade="80"/>
                <w:sz w:val="24"/>
                <w:szCs w:val="24"/>
              </w:rPr>
              <w:t xml:space="preserve"> </w:t>
            </w:r>
          </w:p>
        </w:tc>
      </w:tr>
      <w:tr w:rsidR="00842A16" w:rsidRPr="00842A16" w14:paraId="6725D3C5" w14:textId="77777777" w:rsidTr="00274AF4">
        <w:tc>
          <w:tcPr>
            <w:tcW w:w="1165" w:type="dxa"/>
          </w:tcPr>
          <w:p w14:paraId="3D232143" w14:textId="466932B6" w:rsidR="00A97757" w:rsidRPr="00842A16" w:rsidRDefault="00A97757"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Part XII</w:t>
            </w:r>
          </w:p>
        </w:tc>
        <w:tc>
          <w:tcPr>
            <w:tcW w:w="8185" w:type="dxa"/>
          </w:tcPr>
          <w:p w14:paraId="07BFE0F5" w14:textId="668A103B" w:rsidR="00A97757" w:rsidRPr="00842A16" w:rsidRDefault="00A97757"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Repeal and Savings</w:t>
            </w:r>
          </w:p>
        </w:tc>
      </w:tr>
    </w:tbl>
    <w:p w14:paraId="0EDC58B7" w14:textId="64F62A7F" w:rsidR="003F1825" w:rsidRPr="00842A16" w:rsidRDefault="003F1825" w:rsidP="003A254A">
      <w:pPr>
        <w:jc w:val="both"/>
        <w:rPr>
          <w:rFonts w:ascii="Book Antiqua" w:eastAsia="Calibri" w:hAnsi="Book Antiqua" w:cs="Times New Roman"/>
          <w:b/>
          <w:color w:val="1F3864" w:themeColor="accent1" w:themeShade="80"/>
          <w:sz w:val="24"/>
          <w:szCs w:val="24"/>
        </w:rPr>
      </w:pPr>
    </w:p>
    <w:p w14:paraId="52C93A14" w14:textId="2C3860AE" w:rsidR="005C2FDB" w:rsidRPr="00842A16" w:rsidRDefault="005C2FDB" w:rsidP="003A254A">
      <w:pPr>
        <w:jc w:val="both"/>
        <w:rPr>
          <w:rFonts w:ascii="Book Antiqua" w:eastAsia="Calibri" w:hAnsi="Book Antiqua" w:cs="Times New Roman"/>
          <w:b/>
          <w:i/>
          <w:iCs/>
          <w:color w:val="1F3864" w:themeColor="accent1" w:themeShade="80"/>
          <w:sz w:val="24"/>
          <w:szCs w:val="24"/>
        </w:rPr>
      </w:pPr>
      <w:r w:rsidRPr="00842A16">
        <w:rPr>
          <w:rFonts w:ascii="Book Antiqua" w:eastAsia="Calibri" w:hAnsi="Book Antiqua" w:cs="Times New Roman"/>
          <w:b/>
          <w:i/>
          <w:iCs/>
          <w:color w:val="1F3864" w:themeColor="accent1" w:themeShade="80"/>
          <w:sz w:val="24"/>
          <w:szCs w:val="24"/>
        </w:rPr>
        <w:t>Pros</w:t>
      </w:r>
    </w:p>
    <w:p w14:paraId="517710D3" w14:textId="2FF22541" w:rsidR="00190B90" w:rsidRPr="00842A16" w:rsidRDefault="00190B90"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 xml:space="preserve">The </w:t>
      </w:r>
      <w:r w:rsidR="005C2FDB" w:rsidRPr="00842A16">
        <w:rPr>
          <w:rFonts w:ascii="Book Antiqua" w:eastAsia="Calibri" w:hAnsi="Book Antiqua" w:cs="Times New Roman"/>
          <w:bCs/>
          <w:color w:val="1F3864" w:themeColor="accent1" w:themeShade="80"/>
          <w:sz w:val="24"/>
          <w:szCs w:val="24"/>
        </w:rPr>
        <w:t xml:space="preserve">law provides in a detailed manner </w:t>
      </w:r>
      <w:r w:rsidR="005A5540" w:rsidRPr="00842A16">
        <w:rPr>
          <w:rFonts w:ascii="Book Antiqua" w:eastAsia="Calibri" w:hAnsi="Book Antiqua" w:cs="Times New Roman"/>
          <w:bCs/>
          <w:color w:val="1F3864" w:themeColor="accent1" w:themeShade="80"/>
          <w:sz w:val="24"/>
          <w:szCs w:val="24"/>
        </w:rPr>
        <w:t>the procedures</w:t>
      </w:r>
      <w:r w:rsidR="005C2FDB" w:rsidRPr="00842A16">
        <w:rPr>
          <w:rFonts w:ascii="Book Antiqua" w:eastAsia="Calibri" w:hAnsi="Book Antiqua" w:cs="Times New Roman"/>
          <w:bCs/>
          <w:color w:val="1F3864" w:themeColor="accent1" w:themeShade="80"/>
          <w:sz w:val="24"/>
          <w:szCs w:val="24"/>
        </w:rPr>
        <w:t xml:space="preserve"> for the establishment of the agency including the guidelines for the constitution, functions, tenure of members, conditions for meetings of its board</w:t>
      </w:r>
      <w:r w:rsidR="00D155B9" w:rsidRPr="00842A16">
        <w:rPr>
          <w:rFonts w:ascii="Book Antiqua" w:eastAsia="Calibri" w:hAnsi="Book Antiqua" w:cs="Times New Roman"/>
          <w:bCs/>
          <w:color w:val="1F3864" w:themeColor="accent1" w:themeShade="80"/>
          <w:sz w:val="24"/>
          <w:szCs w:val="24"/>
        </w:rPr>
        <w:t>; as well as the objectives, functions, powers, funding</w:t>
      </w:r>
      <w:r w:rsidR="005A5540" w:rsidRPr="00842A16">
        <w:rPr>
          <w:rFonts w:ascii="Book Antiqua" w:eastAsia="Calibri" w:hAnsi="Book Antiqua" w:cs="Times New Roman"/>
          <w:bCs/>
          <w:color w:val="1F3864" w:themeColor="accent1" w:themeShade="80"/>
          <w:sz w:val="24"/>
          <w:szCs w:val="24"/>
        </w:rPr>
        <w:t xml:space="preserve"> and fund management of the organization. It also established the rules governing public procurement while further elaborating on the requirements, methods and processes for public procurement from approval through planning to implementation as it stipulated the various stakeholders including the procurement entity and its procurement department, planning committee, tenders’ board</w:t>
      </w:r>
      <w:r w:rsidR="00AA48FE" w:rsidRPr="00842A16">
        <w:rPr>
          <w:rFonts w:ascii="Book Antiqua" w:eastAsia="Calibri" w:hAnsi="Book Antiqua" w:cs="Times New Roman"/>
          <w:bCs/>
          <w:color w:val="1F3864" w:themeColor="accent1" w:themeShade="80"/>
          <w:sz w:val="24"/>
          <w:szCs w:val="24"/>
        </w:rPr>
        <w:t xml:space="preserve"> and the technical evaluation committee. The law is compliant with the good practices in its recommendation of open competitive bidding as the default procurement</w:t>
      </w:r>
      <w:r w:rsidR="00124203" w:rsidRPr="00842A16">
        <w:rPr>
          <w:rFonts w:ascii="Book Antiqua" w:eastAsia="Calibri" w:hAnsi="Book Antiqua" w:cs="Times New Roman"/>
          <w:bCs/>
          <w:color w:val="1F3864" w:themeColor="accent1" w:themeShade="80"/>
          <w:sz w:val="24"/>
          <w:szCs w:val="24"/>
        </w:rPr>
        <w:t xml:space="preserve"> or disposal</w:t>
      </w:r>
      <w:r w:rsidR="00AA48FE" w:rsidRPr="00842A16">
        <w:rPr>
          <w:rFonts w:ascii="Book Antiqua" w:eastAsia="Calibri" w:hAnsi="Book Antiqua" w:cs="Times New Roman"/>
          <w:bCs/>
          <w:color w:val="1F3864" w:themeColor="accent1" w:themeShade="80"/>
          <w:sz w:val="24"/>
          <w:szCs w:val="24"/>
        </w:rPr>
        <w:t xml:space="preserve"> system</w:t>
      </w:r>
      <w:r w:rsidR="00124203" w:rsidRPr="00842A16">
        <w:rPr>
          <w:rFonts w:ascii="Book Antiqua" w:eastAsia="Calibri" w:hAnsi="Book Antiqua" w:cs="Times New Roman"/>
          <w:bCs/>
          <w:color w:val="1F3864" w:themeColor="accent1" w:themeShade="80"/>
          <w:sz w:val="24"/>
          <w:szCs w:val="24"/>
        </w:rPr>
        <w:t>,</w:t>
      </w:r>
      <w:r w:rsidR="00292147" w:rsidRPr="00842A16">
        <w:rPr>
          <w:rFonts w:ascii="Book Antiqua" w:eastAsia="Calibri" w:hAnsi="Book Antiqua" w:cs="Times New Roman"/>
          <w:bCs/>
          <w:color w:val="1F3864" w:themeColor="accent1" w:themeShade="80"/>
          <w:sz w:val="24"/>
          <w:szCs w:val="24"/>
        </w:rPr>
        <w:t xml:space="preserve"> while emphasizing that the examination of bids prioritize economy</w:t>
      </w:r>
      <w:r w:rsidR="00124203" w:rsidRPr="00842A16">
        <w:rPr>
          <w:rFonts w:ascii="Book Antiqua" w:eastAsia="Calibri" w:hAnsi="Book Antiqua" w:cs="Times New Roman"/>
          <w:bCs/>
          <w:color w:val="1F3864" w:themeColor="accent1" w:themeShade="80"/>
          <w:sz w:val="24"/>
          <w:szCs w:val="24"/>
        </w:rPr>
        <w:t xml:space="preserve"> and </w:t>
      </w:r>
      <w:r w:rsidR="00292147" w:rsidRPr="00842A16">
        <w:rPr>
          <w:rFonts w:ascii="Book Antiqua" w:eastAsia="Calibri" w:hAnsi="Book Antiqua" w:cs="Times New Roman"/>
          <w:bCs/>
          <w:color w:val="1F3864" w:themeColor="accent1" w:themeShade="80"/>
          <w:sz w:val="24"/>
          <w:szCs w:val="24"/>
        </w:rPr>
        <w:t>efficien</w:t>
      </w:r>
      <w:r w:rsidR="00124203" w:rsidRPr="00842A16">
        <w:rPr>
          <w:rFonts w:ascii="Book Antiqua" w:eastAsia="Calibri" w:hAnsi="Book Antiqua" w:cs="Times New Roman"/>
          <w:bCs/>
          <w:color w:val="1F3864" w:themeColor="accent1" w:themeShade="80"/>
          <w:sz w:val="24"/>
          <w:szCs w:val="24"/>
        </w:rPr>
        <w:t xml:space="preserve">cy </w:t>
      </w:r>
      <w:r w:rsidR="00292147" w:rsidRPr="00842A16">
        <w:rPr>
          <w:rFonts w:ascii="Book Antiqua" w:eastAsia="Calibri" w:hAnsi="Book Antiqua" w:cs="Times New Roman"/>
          <w:bCs/>
          <w:color w:val="1F3864" w:themeColor="accent1" w:themeShade="80"/>
          <w:sz w:val="24"/>
          <w:szCs w:val="24"/>
        </w:rPr>
        <w:t>by prioritizing the lowest evaluated responsive bid in procuring goods, works and services</w:t>
      </w:r>
      <w:r w:rsidR="00124203" w:rsidRPr="00842A16">
        <w:rPr>
          <w:rFonts w:ascii="Book Antiqua" w:eastAsia="Calibri" w:hAnsi="Book Antiqua" w:cs="Times New Roman"/>
          <w:bCs/>
          <w:color w:val="1F3864" w:themeColor="accent1" w:themeShade="80"/>
          <w:sz w:val="24"/>
          <w:szCs w:val="24"/>
        </w:rPr>
        <w:t xml:space="preserve"> as a way of maximizing the value for money.</w:t>
      </w:r>
      <w:r w:rsidR="005A5540" w:rsidRPr="00842A16">
        <w:rPr>
          <w:rFonts w:ascii="Book Antiqua" w:eastAsia="Calibri" w:hAnsi="Book Antiqua" w:cs="Times New Roman"/>
          <w:bCs/>
          <w:color w:val="1F3864" w:themeColor="accent1" w:themeShade="80"/>
          <w:sz w:val="24"/>
          <w:szCs w:val="24"/>
        </w:rPr>
        <w:t xml:space="preserve"> </w:t>
      </w:r>
      <w:r w:rsidR="00124203" w:rsidRPr="00842A16">
        <w:rPr>
          <w:rFonts w:ascii="Book Antiqua" w:eastAsia="Calibri" w:hAnsi="Book Antiqua" w:cs="Times New Roman"/>
          <w:bCs/>
          <w:color w:val="1F3864" w:themeColor="accent1" w:themeShade="80"/>
          <w:sz w:val="24"/>
          <w:szCs w:val="24"/>
        </w:rPr>
        <w:t xml:space="preserve">Its </w:t>
      </w:r>
      <w:r w:rsidR="00BB7F29" w:rsidRPr="00842A16">
        <w:rPr>
          <w:rFonts w:ascii="Book Antiqua" w:eastAsia="Calibri" w:hAnsi="Book Antiqua" w:cs="Times New Roman"/>
          <w:bCs/>
          <w:color w:val="1F3864" w:themeColor="accent1" w:themeShade="80"/>
          <w:sz w:val="24"/>
          <w:szCs w:val="24"/>
        </w:rPr>
        <w:t xml:space="preserve">approach to the </w:t>
      </w:r>
      <w:r w:rsidR="00124203" w:rsidRPr="00842A16">
        <w:rPr>
          <w:rFonts w:ascii="Book Antiqua" w:eastAsia="Calibri" w:hAnsi="Book Antiqua" w:cs="Times New Roman"/>
          <w:bCs/>
          <w:color w:val="1F3864" w:themeColor="accent1" w:themeShade="80"/>
          <w:sz w:val="24"/>
          <w:szCs w:val="24"/>
        </w:rPr>
        <w:t>competitiveness</w:t>
      </w:r>
      <w:r w:rsidR="00BB7F29" w:rsidRPr="00842A16">
        <w:rPr>
          <w:rFonts w:ascii="Book Antiqua" w:eastAsia="Calibri" w:hAnsi="Book Antiqua" w:cs="Times New Roman"/>
          <w:bCs/>
          <w:color w:val="1F3864" w:themeColor="accent1" w:themeShade="80"/>
          <w:sz w:val="24"/>
          <w:szCs w:val="24"/>
        </w:rPr>
        <w:t>, while protecting the privacy and interests of bidders through the procurement processes b</w:t>
      </w:r>
      <w:r w:rsidR="00592815">
        <w:rPr>
          <w:rFonts w:ascii="Book Antiqua" w:eastAsia="Calibri" w:hAnsi="Book Antiqua" w:cs="Times New Roman"/>
          <w:bCs/>
          <w:color w:val="1F3864" w:themeColor="accent1" w:themeShade="80"/>
          <w:sz w:val="24"/>
          <w:szCs w:val="24"/>
        </w:rPr>
        <w:t>y</w:t>
      </w:r>
      <w:r w:rsidR="00BB7F29" w:rsidRPr="00842A16">
        <w:rPr>
          <w:rFonts w:ascii="Book Antiqua" w:eastAsia="Calibri" w:hAnsi="Book Antiqua" w:cs="Times New Roman"/>
          <w:bCs/>
          <w:color w:val="1F3864" w:themeColor="accent1" w:themeShade="80"/>
          <w:sz w:val="24"/>
          <w:szCs w:val="24"/>
        </w:rPr>
        <w:t xml:space="preserve"> non-opening of non-responsive bids and equal level of communication with all bidders (including responses and changes during the bid validity period) </w:t>
      </w:r>
      <w:r w:rsidR="003C4B02" w:rsidRPr="00842A16">
        <w:rPr>
          <w:rFonts w:ascii="Book Antiqua" w:eastAsia="Calibri" w:hAnsi="Book Antiqua" w:cs="Times New Roman"/>
          <w:bCs/>
          <w:color w:val="1F3864" w:themeColor="accent1" w:themeShade="80"/>
          <w:sz w:val="24"/>
          <w:szCs w:val="24"/>
        </w:rPr>
        <w:t xml:space="preserve">aligns with ensuring transparency, accountability, efficiency and non-discrimination in public procurement. </w:t>
      </w:r>
      <w:r w:rsidR="004C0BE1" w:rsidRPr="00842A16">
        <w:rPr>
          <w:rFonts w:ascii="Book Antiqua" w:eastAsia="Calibri" w:hAnsi="Book Antiqua" w:cs="Times New Roman"/>
          <w:bCs/>
          <w:color w:val="1F3864" w:themeColor="accent1" w:themeShade="80"/>
          <w:sz w:val="24"/>
          <w:szCs w:val="24"/>
        </w:rPr>
        <w:t>The law</w:t>
      </w:r>
      <w:r w:rsidR="003C4B02" w:rsidRPr="00842A16">
        <w:rPr>
          <w:rFonts w:ascii="Book Antiqua" w:eastAsia="Calibri" w:hAnsi="Book Antiqua" w:cs="Times New Roman"/>
          <w:bCs/>
          <w:color w:val="1F3864" w:themeColor="accent1" w:themeShade="80"/>
          <w:sz w:val="24"/>
          <w:szCs w:val="24"/>
        </w:rPr>
        <w:t xml:space="preserve"> also balanced the desire for value delivery through requests for bid and performance security and the cap on the percentage of advance</w:t>
      </w:r>
      <w:r w:rsidR="00B41C82">
        <w:rPr>
          <w:rFonts w:ascii="Book Antiqua" w:eastAsia="Calibri" w:hAnsi="Book Antiqua" w:cs="Times New Roman"/>
          <w:bCs/>
          <w:color w:val="1F3864" w:themeColor="accent1" w:themeShade="80"/>
          <w:sz w:val="24"/>
          <w:szCs w:val="24"/>
        </w:rPr>
        <w:t>d</w:t>
      </w:r>
      <w:r w:rsidR="003C4B02" w:rsidRPr="00842A16">
        <w:rPr>
          <w:rFonts w:ascii="Book Antiqua" w:eastAsia="Calibri" w:hAnsi="Book Antiqua" w:cs="Times New Roman"/>
          <w:bCs/>
          <w:color w:val="1F3864" w:themeColor="accent1" w:themeShade="80"/>
          <w:sz w:val="24"/>
          <w:szCs w:val="24"/>
        </w:rPr>
        <w:t xml:space="preserve"> payments where applicable</w:t>
      </w:r>
      <w:r w:rsidR="00B41C82">
        <w:rPr>
          <w:rFonts w:ascii="Book Antiqua" w:eastAsia="Calibri" w:hAnsi="Book Antiqua" w:cs="Times New Roman"/>
          <w:bCs/>
          <w:color w:val="1F3864" w:themeColor="accent1" w:themeShade="80"/>
          <w:sz w:val="24"/>
          <w:szCs w:val="24"/>
        </w:rPr>
        <w:t>,</w:t>
      </w:r>
      <w:r w:rsidR="003C4B02" w:rsidRPr="00842A16">
        <w:rPr>
          <w:rFonts w:ascii="Book Antiqua" w:eastAsia="Calibri" w:hAnsi="Book Antiqua" w:cs="Times New Roman"/>
          <w:bCs/>
          <w:color w:val="1F3864" w:themeColor="accent1" w:themeShade="80"/>
          <w:sz w:val="24"/>
          <w:szCs w:val="24"/>
        </w:rPr>
        <w:t xml:space="preserve"> against the </w:t>
      </w:r>
      <w:r w:rsidR="003C4B02" w:rsidRPr="00842A16">
        <w:rPr>
          <w:rFonts w:ascii="Book Antiqua" w:eastAsia="Calibri" w:hAnsi="Book Antiqua" w:cs="Times New Roman"/>
          <w:bCs/>
          <w:color w:val="1F3864" w:themeColor="accent1" w:themeShade="80"/>
          <w:sz w:val="24"/>
          <w:szCs w:val="24"/>
        </w:rPr>
        <w:lastRenderedPageBreak/>
        <w:t>payment of interests</w:t>
      </w:r>
      <w:r w:rsidR="00B41C82">
        <w:rPr>
          <w:rFonts w:ascii="Book Antiqua" w:eastAsia="Calibri" w:hAnsi="Book Antiqua" w:cs="Times New Roman"/>
          <w:bCs/>
          <w:color w:val="1F3864" w:themeColor="accent1" w:themeShade="80"/>
          <w:sz w:val="24"/>
          <w:szCs w:val="24"/>
        </w:rPr>
        <w:t xml:space="preserve"> on delayed payments on certified works</w:t>
      </w:r>
      <w:r w:rsidR="003C4B02" w:rsidRPr="00842A16">
        <w:rPr>
          <w:rFonts w:ascii="Book Antiqua" w:eastAsia="Calibri" w:hAnsi="Book Antiqua" w:cs="Times New Roman"/>
          <w:bCs/>
          <w:color w:val="1F3864" w:themeColor="accent1" w:themeShade="80"/>
          <w:sz w:val="24"/>
          <w:szCs w:val="24"/>
        </w:rPr>
        <w:t xml:space="preserve"> to </w:t>
      </w:r>
      <w:r w:rsidR="004C0BE1" w:rsidRPr="00842A16">
        <w:rPr>
          <w:rFonts w:ascii="Book Antiqua" w:eastAsia="Calibri" w:hAnsi="Book Antiqua" w:cs="Times New Roman"/>
          <w:bCs/>
          <w:color w:val="1F3864" w:themeColor="accent1" w:themeShade="80"/>
          <w:sz w:val="24"/>
          <w:szCs w:val="24"/>
        </w:rPr>
        <w:t>selected contractors, suppliers and service providers.</w:t>
      </w:r>
    </w:p>
    <w:p w14:paraId="27D0280B" w14:textId="1C1BBF99" w:rsidR="002D55BD" w:rsidRPr="00842A16" w:rsidRDefault="002D55BD"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 xml:space="preserve">The law also </w:t>
      </w:r>
      <w:r w:rsidR="00B41C82">
        <w:rPr>
          <w:rFonts w:ascii="Book Antiqua" w:eastAsia="Calibri" w:hAnsi="Book Antiqua" w:cs="Times New Roman"/>
          <w:bCs/>
          <w:color w:val="1F3864" w:themeColor="accent1" w:themeShade="80"/>
          <w:sz w:val="24"/>
          <w:szCs w:val="24"/>
        </w:rPr>
        <w:t>provides for</w:t>
      </w:r>
      <w:r w:rsidRPr="00842A16">
        <w:rPr>
          <w:rFonts w:ascii="Book Antiqua" w:eastAsia="Calibri" w:hAnsi="Book Antiqua" w:cs="Times New Roman"/>
          <w:bCs/>
          <w:color w:val="1F3864" w:themeColor="accent1" w:themeShade="80"/>
          <w:sz w:val="24"/>
          <w:szCs w:val="24"/>
        </w:rPr>
        <w:t xml:space="preserve"> compliance with good practices on gender responsiveness through the use </w:t>
      </w:r>
      <w:r w:rsidR="001164CB">
        <w:rPr>
          <w:rFonts w:ascii="Book Antiqua" w:eastAsia="Calibri" w:hAnsi="Book Antiqua" w:cs="Times New Roman"/>
          <w:bCs/>
          <w:color w:val="1F3864" w:themeColor="accent1" w:themeShade="80"/>
          <w:sz w:val="24"/>
          <w:szCs w:val="24"/>
        </w:rPr>
        <w:t>of pronouns</w:t>
      </w:r>
      <w:r w:rsidRPr="00842A16">
        <w:rPr>
          <w:rFonts w:ascii="Book Antiqua" w:eastAsia="Calibri" w:hAnsi="Book Antiqua" w:cs="Times New Roman"/>
          <w:bCs/>
          <w:color w:val="1F3864" w:themeColor="accent1" w:themeShade="80"/>
          <w:sz w:val="24"/>
          <w:szCs w:val="24"/>
        </w:rPr>
        <w:t xml:space="preserve"> and recommends sustainable approaches to disposal procedures by prioritizing the public health and environmental protection. </w:t>
      </w:r>
      <w:r w:rsidR="006D04CF" w:rsidRPr="00842A16">
        <w:rPr>
          <w:rFonts w:ascii="Book Antiqua" w:eastAsia="Calibri" w:hAnsi="Book Antiqua" w:cs="Times New Roman"/>
          <w:bCs/>
          <w:color w:val="1F3864" w:themeColor="accent1" w:themeShade="80"/>
          <w:sz w:val="24"/>
          <w:szCs w:val="24"/>
        </w:rPr>
        <w:t xml:space="preserve">It is </w:t>
      </w:r>
      <w:r w:rsidR="0088437F" w:rsidRPr="00842A16">
        <w:rPr>
          <w:rFonts w:ascii="Book Antiqua" w:eastAsia="Calibri" w:hAnsi="Book Antiqua" w:cs="Times New Roman"/>
          <w:bCs/>
          <w:color w:val="1F3864" w:themeColor="accent1" w:themeShade="80"/>
          <w:sz w:val="24"/>
          <w:szCs w:val="24"/>
        </w:rPr>
        <w:t>also</w:t>
      </w:r>
      <w:r w:rsidR="006D04CF" w:rsidRPr="00842A16">
        <w:rPr>
          <w:rFonts w:ascii="Book Antiqua" w:eastAsia="Calibri" w:hAnsi="Book Antiqua" w:cs="Times New Roman"/>
          <w:bCs/>
          <w:color w:val="1F3864" w:themeColor="accent1" w:themeShade="80"/>
          <w:sz w:val="24"/>
          <w:szCs w:val="24"/>
        </w:rPr>
        <w:t xml:space="preserve"> important to point out the law’s stipulation of the </w:t>
      </w:r>
      <w:r w:rsidR="0088437F" w:rsidRPr="00842A16">
        <w:rPr>
          <w:rFonts w:ascii="Book Antiqua" w:eastAsia="Calibri" w:hAnsi="Book Antiqua" w:cs="Times New Roman"/>
          <w:bCs/>
          <w:color w:val="1F3864" w:themeColor="accent1" w:themeShade="80"/>
          <w:sz w:val="24"/>
          <w:szCs w:val="24"/>
        </w:rPr>
        <w:t>continuous trai</w:t>
      </w:r>
      <w:r w:rsidR="006458BA" w:rsidRPr="00842A16">
        <w:rPr>
          <w:rFonts w:ascii="Book Antiqua" w:eastAsia="Calibri" w:hAnsi="Book Antiqua" w:cs="Times New Roman"/>
          <w:bCs/>
          <w:color w:val="1F3864" w:themeColor="accent1" w:themeShade="80"/>
          <w:sz w:val="24"/>
          <w:szCs w:val="24"/>
        </w:rPr>
        <w:t>ning of the staff of the agency as well as building the capacities of procurement entities across the state on good practices regarding engaging in efficient procurement procedures.</w:t>
      </w:r>
    </w:p>
    <w:p w14:paraId="2208188A" w14:textId="77777777" w:rsidR="00BB1970" w:rsidRPr="00842A16" w:rsidRDefault="00BB1970" w:rsidP="003A254A">
      <w:pPr>
        <w:jc w:val="both"/>
        <w:rPr>
          <w:rFonts w:ascii="Book Antiqua" w:eastAsia="Calibri" w:hAnsi="Book Antiqua" w:cs="Times New Roman"/>
          <w:bCs/>
          <w:color w:val="1F3864" w:themeColor="accent1" w:themeShade="80"/>
          <w:sz w:val="24"/>
          <w:szCs w:val="24"/>
        </w:rPr>
      </w:pPr>
    </w:p>
    <w:p w14:paraId="5ABBD705" w14:textId="05715340" w:rsidR="002D55BD" w:rsidRPr="00842A16" w:rsidRDefault="002D55BD" w:rsidP="003A254A">
      <w:pPr>
        <w:jc w:val="both"/>
        <w:rPr>
          <w:rFonts w:ascii="Book Antiqua" w:eastAsia="Calibri" w:hAnsi="Book Antiqua" w:cs="Times New Roman"/>
          <w:b/>
          <w:i/>
          <w:iCs/>
          <w:color w:val="1F3864" w:themeColor="accent1" w:themeShade="80"/>
          <w:sz w:val="24"/>
          <w:szCs w:val="24"/>
        </w:rPr>
      </w:pPr>
      <w:r w:rsidRPr="00842A16">
        <w:rPr>
          <w:rFonts w:ascii="Book Antiqua" w:eastAsia="Calibri" w:hAnsi="Book Antiqua" w:cs="Times New Roman"/>
          <w:b/>
          <w:i/>
          <w:iCs/>
          <w:color w:val="1F3864" w:themeColor="accent1" w:themeShade="80"/>
          <w:sz w:val="24"/>
          <w:szCs w:val="24"/>
        </w:rPr>
        <w:t>Cons</w:t>
      </w:r>
    </w:p>
    <w:p w14:paraId="003C6259" w14:textId="21260F8D" w:rsidR="00985798" w:rsidRPr="00842A16" w:rsidRDefault="00985798" w:rsidP="003A254A">
      <w:pPr>
        <w:jc w:val="both"/>
        <w:rPr>
          <w:rFonts w:ascii="Book Antiqua" w:eastAsia="Calibri" w:hAnsi="Book Antiqua" w:cs="Times New Roman"/>
          <w:color w:val="1F3864" w:themeColor="accent1" w:themeShade="80"/>
          <w:sz w:val="24"/>
          <w:szCs w:val="24"/>
        </w:rPr>
      </w:pPr>
      <w:r w:rsidRPr="00842A16">
        <w:rPr>
          <w:rFonts w:ascii="Book Antiqua" w:eastAsia="Calibri" w:hAnsi="Book Antiqua" w:cs="Times New Roman"/>
          <w:b/>
          <w:color w:val="1F3864" w:themeColor="accent1" w:themeShade="80"/>
          <w:sz w:val="24"/>
          <w:szCs w:val="24"/>
        </w:rPr>
        <w:t>Part IX</w:t>
      </w:r>
      <w:r w:rsidRPr="00842A16">
        <w:rPr>
          <w:rFonts w:ascii="Book Antiqua" w:eastAsia="Calibri" w:hAnsi="Book Antiqua" w:cs="Times New Roman"/>
          <w:color w:val="1F3864" w:themeColor="accent1" w:themeShade="80"/>
          <w:sz w:val="24"/>
          <w:szCs w:val="24"/>
        </w:rPr>
        <w:t xml:space="preserve"> missing from the table of contents (merged </w:t>
      </w:r>
      <w:r w:rsidR="008127AF" w:rsidRPr="00842A16">
        <w:rPr>
          <w:rFonts w:ascii="Book Antiqua" w:eastAsia="Calibri" w:hAnsi="Book Antiqua" w:cs="Times New Roman"/>
          <w:color w:val="1F3864" w:themeColor="accent1" w:themeShade="80"/>
          <w:sz w:val="24"/>
          <w:szCs w:val="24"/>
        </w:rPr>
        <w:t xml:space="preserve">with titles </w:t>
      </w:r>
      <w:r w:rsidRPr="00842A16">
        <w:rPr>
          <w:rFonts w:ascii="Book Antiqua" w:eastAsia="Calibri" w:hAnsi="Book Antiqua" w:cs="Times New Roman"/>
          <w:color w:val="1F3864" w:themeColor="accent1" w:themeShade="80"/>
          <w:sz w:val="24"/>
          <w:szCs w:val="24"/>
        </w:rPr>
        <w:t>under part VIII)</w:t>
      </w:r>
    </w:p>
    <w:p w14:paraId="4C2F642C" w14:textId="0065FF2D" w:rsidR="008127AF" w:rsidRPr="00842A16" w:rsidRDefault="008127AF" w:rsidP="003A254A">
      <w:pPr>
        <w:jc w:val="both"/>
        <w:rPr>
          <w:rFonts w:ascii="Book Antiqua" w:eastAsia="Calibri" w:hAnsi="Book Antiqua" w:cs="Times New Roman"/>
          <w:color w:val="1F3864" w:themeColor="accent1" w:themeShade="80"/>
          <w:sz w:val="24"/>
          <w:szCs w:val="24"/>
        </w:rPr>
      </w:pPr>
      <w:r w:rsidRPr="00842A16">
        <w:rPr>
          <w:rFonts w:ascii="Book Antiqua" w:eastAsia="Calibri" w:hAnsi="Book Antiqua" w:cs="Times New Roman"/>
          <w:b/>
          <w:color w:val="1F3864" w:themeColor="accent1" w:themeShade="80"/>
          <w:sz w:val="24"/>
          <w:szCs w:val="24"/>
        </w:rPr>
        <w:t>Parts XI and XII</w:t>
      </w:r>
      <w:r w:rsidRPr="00842A16">
        <w:rPr>
          <w:rFonts w:ascii="Book Antiqua" w:eastAsia="Calibri" w:hAnsi="Book Antiqua" w:cs="Times New Roman"/>
          <w:color w:val="1F3864" w:themeColor="accent1" w:themeShade="80"/>
          <w:sz w:val="24"/>
          <w:szCs w:val="24"/>
        </w:rPr>
        <w:t xml:space="preserve"> missing from the table of contents (merged with titles under part VIII)</w:t>
      </w:r>
    </w:p>
    <w:p w14:paraId="483195D4" w14:textId="77777777" w:rsidR="00BB1970" w:rsidRPr="00842A16" w:rsidRDefault="00BB1970" w:rsidP="003A254A">
      <w:pPr>
        <w:jc w:val="both"/>
        <w:rPr>
          <w:rFonts w:ascii="Book Antiqua" w:eastAsia="Calibri" w:hAnsi="Book Antiqua" w:cs="Times New Roman"/>
          <w:b/>
          <w:bCs/>
          <w:color w:val="1F3864" w:themeColor="accent1" w:themeShade="80"/>
          <w:sz w:val="24"/>
          <w:szCs w:val="24"/>
        </w:rPr>
      </w:pPr>
      <w:r w:rsidRPr="00842A16">
        <w:rPr>
          <w:rFonts w:ascii="Book Antiqua" w:eastAsia="Calibri" w:hAnsi="Book Antiqua" w:cs="Times New Roman"/>
          <w:b/>
          <w:bCs/>
          <w:color w:val="1F3864" w:themeColor="accent1" w:themeShade="80"/>
          <w:sz w:val="24"/>
          <w:szCs w:val="24"/>
        </w:rPr>
        <w:t xml:space="preserve">Section 5 (6) </w:t>
      </w:r>
    </w:p>
    <w:p w14:paraId="22103411" w14:textId="5C3F7994" w:rsidR="00BB1970" w:rsidRPr="00842A16" w:rsidRDefault="00BB1970" w:rsidP="00BB1970">
      <w:pPr>
        <w:pStyle w:val="ListParagraph"/>
        <w:numPr>
          <w:ilvl w:val="0"/>
          <w:numId w:val="1"/>
        </w:num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The word ‘above’ to be revised to ‘this section’ for more specificity in case of future revisions</w:t>
      </w:r>
    </w:p>
    <w:p w14:paraId="3D6CF1DD" w14:textId="778BEFE0" w:rsidR="00BB1970" w:rsidRPr="00842A16" w:rsidRDefault="00BB1970" w:rsidP="00BB1970">
      <w:pPr>
        <w:pStyle w:val="ListParagraph"/>
        <w:numPr>
          <w:ilvl w:val="0"/>
          <w:numId w:val="1"/>
        </w:num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 xml:space="preserve">Approval of Board Nominees </w:t>
      </w:r>
      <w:r w:rsidR="0047472F" w:rsidRPr="00842A16">
        <w:rPr>
          <w:rFonts w:ascii="Book Antiqua" w:eastAsia="Calibri" w:hAnsi="Book Antiqua" w:cs="Times New Roman"/>
          <w:bCs/>
          <w:color w:val="1F3864" w:themeColor="accent1" w:themeShade="80"/>
          <w:sz w:val="24"/>
          <w:szCs w:val="24"/>
        </w:rPr>
        <w:t>should be by</w:t>
      </w:r>
      <w:r w:rsidRPr="00842A16">
        <w:rPr>
          <w:rFonts w:ascii="Book Antiqua" w:eastAsia="Calibri" w:hAnsi="Book Antiqua" w:cs="Times New Roman"/>
          <w:bCs/>
          <w:color w:val="1F3864" w:themeColor="accent1" w:themeShade="80"/>
          <w:sz w:val="24"/>
          <w:szCs w:val="24"/>
        </w:rPr>
        <w:t xml:space="preserve"> the Governor and</w:t>
      </w:r>
      <w:r w:rsidR="0047472F" w:rsidRPr="00842A16">
        <w:rPr>
          <w:rFonts w:ascii="Book Antiqua" w:eastAsia="Calibri" w:hAnsi="Book Antiqua" w:cs="Times New Roman"/>
          <w:bCs/>
          <w:color w:val="1F3864" w:themeColor="accent1" w:themeShade="80"/>
          <w:sz w:val="24"/>
          <w:szCs w:val="24"/>
        </w:rPr>
        <w:t xml:space="preserve"> confirmed</w:t>
      </w:r>
      <w:r w:rsidRPr="00842A16">
        <w:rPr>
          <w:rFonts w:ascii="Book Antiqua" w:eastAsia="Calibri" w:hAnsi="Book Antiqua" w:cs="Times New Roman"/>
          <w:bCs/>
          <w:color w:val="1F3864" w:themeColor="accent1" w:themeShade="80"/>
          <w:sz w:val="24"/>
          <w:szCs w:val="24"/>
        </w:rPr>
        <w:t xml:space="preserve"> the State House of Assembly as with other cases of the law (</w:t>
      </w:r>
      <w:proofErr w:type="spellStart"/>
      <w:r w:rsidRPr="00842A16">
        <w:rPr>
          <w:rFonts w:ascii="Book Antiqua" w:eastAsia="Calibri" w:hAnsi="Book Antiqua" w:cs="Times New Roman"/>
          <w:bCs/>
          <w:color w:val="1F3864" w:themeColor="accent1" w:themeShade="80"/>
          <w:sz w:val="24"/>
          <w:szCs w:val="24"/>
        </w:rPr>
        <w:t>e.g</w:t>
      </w:r>
      <w:proofErr w:type="spellEnd"/>
      <w:r w:rsidRPr="00842A16">
        <w:rPr>
          <w:rFonts w:ascii="Book Antiqua" w:eastAsia="Calibri" w:hAnsi="Book Antiqua" w:cs="Times New Roman"/>
          <w:bCs/>
          <w:color w:val="1F3864" w:themeColor="accent1" w:themeShade="80"/>
          <w:sz w:val="24"/>
          <w:szCs w:val="24"/>
        </w:rPr>
        <w:t xml:space="preserve"> </w:t>
      </w:r>
      <w:r w:rsidR="0047472F" w:rsidRPr="00842A16">
        <w:rPr>
          <w:rFonts w:ascii="Book Antiqua" w:eastAsia="Calibri" w:hAnsi="Book Antiqua" w:cs="Times New Roman"/>
          <w:b/>
          <w:bCs/>
          <w:color w:val="1F3864" w:themeColor="accent1" w:themeShade="80"/>
          <w:sz w:val="24"/>
          <w:szCs w:val="24"/>
        </w:rPr>
        <w:t xml:space="preserve">Section </w:t>
      </w:r>
      <w:r w:rsidRPr="00842A16">
        <w:rPr>
          <w:rFonts w:ascii="Book Antiqua" w:eastAsia="Calibri" w:hAnsi="Book Antiqua" w:cs="Times New Roman"/>
          <w:b/>
          <w:bCs/>
          <w:color w:val="1F3864" w:themeColor="accent1" w:themeShade="80"/>
          <w:sz w:val="24"/>
          <w:szCs w:val="24"/>
        </w:rPr>
        <w:t xml:space="preserve">7 </w:t>
      </w:r>
      <w:r w:rsidR="0047472F" w:rsidRPr="00842A16">
        <w:rPr>
          <w:rFonts w:ascii="Book Antiqua" w:eastAsia="Calibri" w:hAnsi="Book Antiqua" w:cs="Times New Roman"/>
          <w:b/>
          <w:bCs/>
          <w:color w:val="1F3864" w:themeColor="accent1" w:themeShade="80"/>
          <w:sz w:val="24"/>
          <w:szCs w:val="24"/>
        </w:rPr>
        <w:t>(</w:t>
      </w:r>
      <w:r w:rsidRPr="00842A16">
        <w:rPr>
          <w:rFonts w:ascii="Book Antiqua" w:eastAsia="Calibri" w:hAnsi="Book Antiqua" w:cs="Times New Roman"/>
          <w:b/>
          <w:bCs/>
          <w:color w:val="1F3864" w:themeColor="accent1" w:themeShade="80"/>
          <w:sz w:val="24"/>
          <w:szCs w:val="24"/>
        </w:rPr>
        <w:t>1</w:t>
      </w:r>
      <w:r w:rsidR="0047472F" w:rsidRPr="00842A16">
        <w:rPr>
          <w:rFonts w:ascii="Book Antiqua" w:eastAsia="Calibri" w:hAnsi="Book Antiqua" w:cs="Times New Roman"/>
          <w:b/>
          <w:bCs/>
          <w:color w:val="1F3864" w:themeColor="accent1" w:themeShade="80"/>
          <w:sz w:val="24"/>
          <w:szCs w:val="24"/>
        </w:rPr>
        <w:t>)</w:t>
      </w:r>
      <w:r w:rsidRPr="00842A16">
        <w:rPr>
          <w:rFonts w:ascii="Book Antiqua" w:eastAsia="Calibri" w:hAnsi="Book Antiqua" w:cs="Times New Roman"/>
          <w:b/>
          <w:bCs/>
          <w:color w:val="1F3864" w:themeColor="accent1" w:themeShade="80"/>
          <w:sz w:val="24"/>
          <w:szCs w:val="24"/>
        </w:rPr>
        <w:t xml:space="preserve"> (b))</w:t>
      </w:r>
    </w:p>
    <w:p w14:paraId="254E2B1E" w14:textId="77777777" w:rsidR="0047472F" w:rsidRPr="00842A16" w:rsidRDefault="0047472F" w:rsidP="0047472F">
      <w:pPr>
        <w:jc w:val="both"/>
        <w:rPr>
          <w:rFonts w:ascii="Book Antiqua" w:hAnsi="Book Antiqua" w:cs="Times New Roman"/>
          <w:b/>
          <w:bCs/>
          <w:color w:val="1F3864" w:themeColor="accent1" w:themeShade="80"/>
          <w:sz w:val="24"/>
          <w:szCs w:val="24"/>
        </w:rPr>
      </w:pPr>
      <w:r w:rsidRPr="00842A16">
        <w:rPr>
          <w:rFonts w:ascii="Book Antiqua" w:hAnsi="Book Antiqua" w:cs="Times New Roman"/>
          <w:b/>
          <w:bCs/>
          <w:color w:val="1F3864" w:themeColor="accent1" w:themeShade="80"/>
          <w:sz w:val="24"/>
          <w:szCs w:val="24"/>
        </w:rPr>
        <w:t xml:space="preserve">Section 7 (2) </w:t>
      </w:r>
    </w:p>
    <w:p w14:paraId="285320D0" w14:textId="60CBA02F" w:rsidR="0047472F" w:rsidRPr="00842A16" w:rsidRDefault="0047472F" w:rsidP="0047472F">
      <w:pPr>
        <w:pStyle w:val="ListParagraph"/>
        <w:numPr>
          <w:ilvl w:val="0"/>
          <w:numId w:val="2"/>
        </w:numPr>
        <w:jc w:val="both"/>
        <w:rPr>
          <w:rFonts w:ascii="Book Antiqua" w:hAnsi="Book Antiqua" w:cs="Times New Roman"/>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 xml:space="preserve">Possible contradictions in the length of Tenure of the Agency’s Board Members as the recommended </w:t>
      </w:r>
      <w:r w:rsidRPr="00842A16">
        <w:rPr>
          <w:rFonts w:ascii="Book Antiqua" w:hAnsi="Book Antiqua" w:cs="Times New Roman"/>
          <w:color w:val="1F3864" w:themeColor="accent1" w:themeShade="80"/>
          <w:sz w:val="24"/>
          <w:szCs w:val="24"/>
        </w:rPr>
        <w:t xml:space="preserve">appointment for a renewable 4-year tenure to serve for a maximum of 8 years appears to contradict </w:t>
      </w:r>
      <w:r w:rsidRPr="00842A16">
        <w:rPr>
          <w:rFonts w:ascii="Book Antiqua" w:hAnsi="Book Antiqua" w:cs="Times New Roman"/>
          <w:b/>
          <w:color w:val="1F3864" w:themeColor="accent1" w:themeShade="80"/>
          <w:sz w:val="24"/>
          <w:szCs w:val="24"/>
        </w:rPr>
        <w:t>Section 7 (1)(a)</w:t>
      </w:r>
      <w:r w:rsidRPr="00842A16">
        <w:rPr>
          <w:rFonts w:ascii="Book Antiqua" w:hAnsi="Book Antiqua" w:cs="Times New Roman"/>
          <w:color w:val="1F3864" w:themeColor="accent1" w:themeShade="80"/>
          <w:sz w:val="24"/>
          <w:szCs w:val="24"/>
        </w:rPr>
        <w:t xml:space="preserve"> which provides that political office holders/career civil servant should remain until vacating such position</w:t>
      </w:r>
    </w:p>
    <w:p w14:paraId="52A35516" w14:textId="3FEF4843" w:rsidR="0047472F" w:rsidRPr="00842A16" w:rsidRDefault="0047472F" w:rsidP="0047472F">
      <w:pPr>
        <w:jc w:val="both"/>
        <w:rPr>
          <w:rFonts w:ascii="Book Antiqua" w:hAnsi="Book Antiqua" w:cs="Times New Roman"/>
          <w:b/>
          <w:color w:val="1F3864" w:themeColor="accent1" w:themeShade="80"/>
          <w:sz w:val="24"/>
          <w:szCs w:val="24"/>
        </w:rPr>
      </w:pPr>
      <w:r w:rsidRPr="00842A16">
        <w:rPr>
          <w:rFonts w:ascii="Book Antiqua" w:hAnsi="Book Antiqua" w:cs="Times New Roman"/>
          <w:b/>
          <w:color w:val="1F3864" w:themeColor="accent1" w:themeShade="80"/>
          <w:sz w:val="24"/>
          <w:szCs w:val="24"/>
        </w:rPr>
        <w:t>Section 7 (4) (a)</w:t>
      </w:r>
    </w:p>
    <w:p w14:paraId="6CD9695D" w14:textId="6ABB57AB" w:rsidR="003F1825" w:rsidRPr="00842A16" w:rsidRDefault="00BB1970" w:rsidP="00BB1970">
      <w:pPr>
        <w:pStyle w:val="ListParagraph"/>
        <w:numPr>
          <w:ilvl w:val="0"/>
          <w:numId w:val="1"/>
        </w:num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 xml:space="preserve"> </w:t>
      </w:r>
      <w:r w:rsidR="002D55BD" w:rsidRPr="00842A16">
        <w:rPr>
          <w:rFonts w:ascii="Book Antiqua" w:eastAsia="Calibri" w:hAnsi="Book Antiqua" w:cs="Times New Roman"/>
          <w:bCs/>
          <w:color w:val="1F3864" w:themeColor="accent1" w:themeShade="80"/>
          <w:sz w:val="24"/>
          <w:szCs w:val="24"/>
        </w:rPr>
        <w:t xml:space="preserve"> </w:t>
      </w:r>
      <w:r w:rsidR="0047472F" w:rsidRPr="00842A16">
        <w:rPr>
          <w:rFonts w:ascii="Book Antiqua" w:eastAsia="Calibri" w:hAnsi="Book Antiqua" w:cs="Times New Roman"/>
          <w:bCs/>
          <w:color w:val="1F3864" w:themeColor="accent1" w:themeShade="80"/>
          <w:sz w:val="24"/>
          <w:szCs w:val="24"/>
        </w:rPr>
        <w:t>Letter of resignation by the board member to be addressed to the governor with the chairperson in copy instead of wiring to either of them</w:t>
      </w:r>
    </w:p>
    <w:p w14:paraId="781D9322" w14:textId="77777777" w:rsidR="00985798" w:rsidRPr="00842A16" w:rsidRDefault="0047472F" w:rsidP="0047472F">
      <w:pPr>
        <w:jc w:val="both"/>
        <w:rPr>
          <w:rFonts w:ascii="Book Antiqua" w:hAnsi="Book Antiqua" w:cs="Times New Roman"/>
          <w:b/>
          <w:bCs/>
          <w:color w:val="1F3864" w:themeColor="accent1" w:themeShade="80"/>
          <w:sz w:val="24"/>
          <w:szCs w:val="24"/>
        </w:rPr>
      </w:pPr>
      <w:r w:rsidRPr="00842A16">
        <w:rPr>
          <w:rFonts w:ascii="Book Antiqua" w:hAnsi="Book Antiqua" w:cs="Times New Roman"/>
          <w:b/>
          <w:bCs/>
          <w:color w:val="1F3864" w:themeColor="accent1" w:themeShade="80"/>
          <w:sz w:val="24"/>
          <w:szCs w:val="24"/>
        </w:rPr>
        <w:t xml:space="preserve">Section </w:t>
      </w:r>
      <w:r w:rsidR="00985798" w:rsidRPr="00842A16">
        <w:rPr>
          <w:rFonts w:ascii="Book Antiqua" w:hAnsi="Book Antiqua" w:cs="Times New Roman"/>
          <w:b/>
          <w:bCs/>
          <w:color w:val="1F3864" w:themeColor="accent1" w:themeShade="80"/>
          <w:sz w:val="24"/>
          <w:szCs w:val="24"/>
        </w:rPr>
        <w:t xml:space="preserve">7 (5) </w:t>
      </w:r>
    </w:p>
    <w:p w14:paraId="24176727" w14:textId="3CAF4C01" w:rsidR="0047472F" w:rsidRPr="00842A16" w:rsidRDefault="0047472F" w:rsidP="00985798">
      <w:pPr>
        <w:pStyle w:val="ListParagraph"/>
        <w:numPr>
          <w:ilvl w:val="0"/>
          <w:numId w:val="1"/>
        </w:numPr>
        <w:jc w:val="both"/>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Unattached conditions for removal make the chairperson and other members of the governing board vulnerable</w:t>
      </w:r>
      <w:r w:rsidR="00985798" w:rsidRPr="00842A16">
        <w:rPr>
          <w:rFonts w:ascii="Book Antiqua" w:hAnsi="Book Antiqua" w:cs="Times New Roman"/>
          <w:color w:val="1F3864" w:themeColor="accent1" w:themeShade="80"/>
          <w:sz w:val="24"/>
          <w:szCs w:val="24"/>
        </w:rPr>
        <w:t xml:space="preserve"> to be arbitrarily removed from office</w:t>
      </w:r>
    </w:p>
    <w:p w14:paraId="2CFA95DC" w14:textId="77777777" w:rsidR="00985798" w:rsidRPr="00842A16" w:rsidRDefault="00985798" w:rsidP="00985798">
      <w:pPr>
        <w:jc w:val="both"/>
        <w:rPr>
          <w:rFonts w:ascii="Book Antiqua" w:hAnsi="Book Antiqua" w:cs="Times New Roman"/>
          <w:color w:val="1F3864" w:themeColor="accent1" w:themeShade="80"/>
          <w:sz w:val="24"/>
          <w:szCs w:val="24"/>
        </w:rPr>
      </w:pPr>
      <w:r w:rsidRPr="00842A16">
        <w:rPr>
          <w:rFonts w:ascii="Book Antiqua" w:hAnsi="Book Antiqua" w:cs="Times New Roman"/>
          <w:b/>
          <w:bCs/>
          <w:color w:val="1F3864" w:themeColor="accent1" w:themeShade="80"/>
          <w:sz w:val="24"/>
          <w:szCs w:val="24"/>
        </w:rPr>
        <w:t>Section 8 (1) (f)</w:t>
      </w:r>
      <w:r w:rsidRPr="00842A16">
        <w:rPr>
          <w:rFonts w:ascii="Book Antiqua" w:hAnsi="Book Antiqua" w:cs="Times New Roman"/>
          <w:color w:val="1F3864" w:themeColor="accent1" w:themeShade="80"/>
          <w:sz w:val="24"/>
          <w:szCs w:val="24"/>
        </w:rPr>
        <w:t xml:space="preserve"> </w:t>
      </w:r>
    </w:p>
    <w:p w14:paraId="6FAC80F4" w14:textId="2453D3D2" w:rsidR="00985798" w:rsidRPr="00842A16" w:rsidRDefault="00985798" w:rsidP="00985798">
      <w:pPr>
        <w:pStyle w:val="ListParagraph"/>
        <w:numPr>
          <w:ilvl w:val="0"/>
          <w:numId w:val="1"/>
        </w:numPr>
        <w:jc w:val="both"/>
        <w:rPr>
          <w:rFonts w:ascii="Book Antiqua" w:hAnsi="Book Antiqua" w:cs="Times New Roman"/>
          <w:color w:val="1F3864" w:themeColor="accent1" w:themeShade="80"/>
          <w:sz w:val="24"/>
          <w:szCs w:val="24"/>
        </w:rPr>
      </w:pPr>
      <w:proofErr w:type="gramStart"/>
      <w:r w:rsidRPr="00842A16">
        <w:rPr>
          <w:rFonts w:ascii="Book Antiqua" w:hAnsi="Book Antiqua" w:cs="Times New Roman"/>
          <w:color w:val="1F3864" w:themeColor="accent1" w:themeShade="80"/>
          <w:sz w:val="24"/>
          <w:szCs w:val="24"/>
        </w:rPr>
        <w:lastRenderedPageBreak/>
        <w:t>the</w:t>
      </w:r>
      <w:proofErr w:type="gramEnd"/>
      <w:r w:rsidRPr="00842A16">
        <w:rPr>
          <w:rFonts w:ascii="Book Antiqua" w:hAnsi="Book Antiqua" w:cs="Times New Roman"/>
          <w:color w:val="1F3864" w:themeColor="accent1" w:themeShade="80"/>
          <w:sz w:val="24"/>
          <w:szCs w:val="24"/>
        </w:rPr>
        <w:t xml:space="preserve"> provision that the chairperson convene an extraordinary meeting at the earliest convenient date may lead to abuse. A timeframe for the latest time of convening the meeting is recommended (perhaps with a window of 3 months from the notice)</w:t>
      </w:r>
    </w:p>
    <w:p w14:paraId="20ED0E71" w14:textId="77777777" w:rsidR="008127AF" w:rsidRPr="00842A16" w:rsidRDefault="00985798" w:rsidP="00985798">
      <w:pPr>
        <w:jc w:val="both"/>
        <w:rPr>
          <w:rFonts w:ascii="Book Antiqua" w:hAnsi="Book Antiqua" w:cs="Times New Roman"/>
          <w:b/>
          <w:color w:val="1F3864" w:themeColor="accent1" w:themeShade="80"/>
          <w:sz w:val="24"/>
          <w:szCs w:val="24"/>
        </w:rPr>
      </w:pPr>
      <w:r w:rsidRPr="00842A16">
        <w:rPr>
          <w:rFonts w:ascii="Book Antiqua" w:hAnsi="Book Antiqua" w:cs="Times New Roman"/>
          <w:b/>
          <w:color w:val="1F3864" w:themeColor="accent1" w:themeShade="80"/>
          <w:sz w:val="24"/>
          <w:szCs w:val="24"/>
        </w:rPr>
        <w:t>Section 8</w:t>
      </w:r>
      <w:r w:rsidR="008127AF" w:rsidRPr="00842A16">
        <w:rPr>
          <w:rFonts w:ascii="Book Antiqua" w:hAnsi="Book Antiqua" w:cs="Times New Roman"/>
          <w:b/>
          <w:color w:val="1F3864" w:themeColor="accent1" w:themeShade="80"/>
          <w:sz w:val="24"/>
          <w:szCs w:val="24"/>
        </w:rPr>
        <w:t xml:space="preserve"> (7)</w:t>
      </w:r>
    </w:p>
    <w:p w14:paraId="2E26F607" w14:textId="266D880A" w:rsidR="00985798" w:rsidRPr="00842A16" w:rsidRDefault="008127AF" w:rsidP="008127AF">
      <w:pPr>
        <w:pStyle w:val="ListParagraph"/>
        <w:numPr>
          <w:ilvl w:val="0"/>
          <w:numId w:val="1"/>
        </w:numPr>
        <w:jc w:val="both"/>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the validity of proceedings of the board where there is defect in the appointment of members or where persons not entitled to attend the meeting do so puts the board and agency at risk, especially as there was no caveat on number of illegal attendees</w:t>
      </w:r>
    </w:p>
    <w:p w14:paraId="49DF8F2E" w14:textId="4B8D3393" w:rsidR="008127AF" w:rsidRPr="00842A16" w:rsidRDefault="008127AF" w:rsidP="00985798">
      <w:pPr>
        <w:jc w:val="both"/>
        <w:rPr>
          <w:rFonts w:ascii="Book Antiqua" w:hAnsi="Book Antiqua" w:cs="Times New Roman"/>
          <w:b/>
          <w:color w:val="1F3864" w:themeColor="accent1" w:themeShade="80"/>
          <w:sz w:val="24"/>
          <w:szCs w:val="24"/>
        </w:rPr>
      </w:pPr>
      <w:r w:rsidRPr="00842A16">
        <w:rPr>
          <w:rFonts w:ascii="Book Antiqua" w:hAnsi="Book Antiqua" w:cs="Times New Roman"/>
          <w:b/>
          <w:color w:val="1F3864" w:themeColor="accent1" w:themeShade="80"/>
          <w:sz w:val="24"/>
          <w:szCs w:val="24"/>
        </w:rPr>
        <w:t>Section 11 2 (a)</w:t>
      </w:r>
      <w:r w:rsidR="00181066" w:rsidRPr="00842A16">
        <w:rPr>
          <w:rFonts w:ascii="Book Antiqua" w:hAnsi="Book Antiqua" w:cs="Times New Roman"/>
          <w:b/>
          <w:color w:val="1F3864" w:themeColor="accent1" w:themeShade="80"/>
          <w:sz w:val="24"/>
          <w:szCs w:val="24"/>
        </w:rPr>
        <w:t>,</w:t>
      </w:r>
      <w:r w:rsidRPr="00842A16">
        <w:rPr>
          <w:rFonts w:ascii="Book Antiqua" w:hAnsi="Book Antiqua" w:cs="Times New Roman"/>
          <w:b/>
          <w:color w:val="1F3864" w:themeColor="accent1" w:themeShade="80"/>
          <w:sz w:val="24"/>
          <w:szCs w:val="24"/>
        </w:rPr>
        <w:t xml:space="preserve"> (b)</w:t>
      </w:r>
      <w:r w:rsidR="00755741" w:rsidRPr="00842A16">
        <w:rPr>
          <w:rFonts w:ascii="Book Antiqua" w:hAnsi="Book Antiqua" w:cs="Times New Roman"/>
          <w:b/>
          <w:color w:val="1F3864" w:themeColor="accent1" w:themeShade="80"/>
          <w:sz w:val="24"/>
          <w:szCs w:val="24"/>
        </w:rPr>
        <w:t xml:space="preserve">, </w:t>
      </w:r>
      <w:r w:rsidR="00181066" w:rsidRPr="00842A16">
        <w:rPr>
          <w:rFonts w:ascii="Book Antiqua" w:hAnsi="Book Antiqua" w:cs="Times New Roman"/>
          <w:b/>
          <w:color w:val="1F3864" w:themeColor="accent1" w:themeShade="80"/>
          <w:sz w:val="24"/>
          <w:szCs w:val="24"/>
        </w:rPr>
        <w:t>(c)</w:t>
      </w:r>
      <w:r w:rsidR="00755741" w:rsidRPr="00842A16">
        <w:rPr>
          <w:rFonts w:ascii="Book Antiqua" w:hAnsi="Book Antiqua" w:cs="Times New Roman"/>
          <w:b/>
          <w:color w:val="1F3864" w:themeColor="accent1" w:themeShade="80"/>
          <w:sz w:val="24"/>
          <w:szCs w:val="24"/>
        </w:rPr>
        <w:t xml:space="preserve"> and (d)</w:t>
      </w:r>
    </w:p>
    <w:p w14:paraId="1FC98D8D" w14:textId="3070999A" w:rsidR="008127AF" w:rsidRPr="00842A16" w:rsidRDefault="008127AF" w:rsidP="008127AF">
      <w:pPr>
        <w:pStyle w:val="ListParagraph"/>
        <w:numPr>
          <w:ilvl w:val="0"/>
          <w:numId w:val="3"/>
        </w:numPr>
        <w:ind w:left="709" w:hanging="425"/>
        <w:jc w:val="both"/>
        <w:rPr>
          <w:rFonts w:ascii="Book Antiqua" w:eastAsia="Calibri" w:hAnsi="Book Antiqua" w:cs="Times New Roman"/>
          <w:color w:val="1F3864" w:themeColor="accent1" w:themeShade="80"/>
          <w:sz w:val="24"/>
          <w:szCs w:val="24"/>
        </w:rPr>
      </w:pPr>
      <w:r w:rsidRPr="00842A16">
        <w:rPr>
          <w:rFonts w:ascii="Book Antiqua" w:eastAsia="Calibri" w:hAnsi="Book Antiqua" w:cs="Times New Roman"/>
          <w:color w:val="1F3864" w:themeColor="accent1" w:themeShade="80"/>
          <w:sz w:val="24"/>
          <w:szCs w:val="24"/>
        </w:rPr>
        <w:t>(a) the phrase ‘concerned with’ to be revised with the suggested phrase ‘</w:t>
      </w:r>
      <w:r w:rsidR="00181066" w:rsidRPr="00842A16">
        <w:rPr>
          <w:rFonts w:ascii="Book Antiqua" w:eastAsia="Calibri" w:hAnsi="Book Antiqua" w:cs="Times New Roman"/>
          <w:color w:val="1F3864" w:themeColor="accent1" w:themeShade="80"/>
          <w:sz w:val="24"/>
          <w:szCs w:val="24"/>
        </w:rPr>
        <w:t>found guilty with respect to’ to protect innocent officers from vulnerability due to broad interpretations of the law</w:t>
      </w:r>
    </w:p>
    <w:p w14:paraId="420A528A" w14:textId="7A2F5559" w:rsidR="003F1825" w:rsidRPr="00842A16" w:rsidRDefault="00181066" w:rsidP="008127AF">
      <w:pPr>
        <w:pStyle w:val="ListParagraph"/>
        <w:numPr>
          <w:ilvl w:val="0"/>
          <w:numId w:val="3"/>
        </w:numPr>
        <w:ind w:left="709" w:hanging="425"/>
        <w:jc w:val="both"/>
        <w:rPr>
          <w:rFonts w:ascii="Book Antiqua" w:eastAsia="Calibri" w:hAnsi="Book Antiqua" w:cs="Times New Roman"/>
          <w:color w:val="1F3864" w:themeColor="accent1" w:themeShade="80"/>
          <w:sz w:val="24"/>
          <w:szCs w:val="24"/>
        </w:rPr>
      </w:pPr>
      <w:r w:rsidRPr="00842A16">
        <w:rPr>
          <w:rFonts w:ascii="Book Antiqua" w:eastAsia="Calibri" w:hAnsi="Book Antiqua" w:cs="Times New Roman"/>
          <w:color w:val="1F3864" w:themeColor="accent1" w:themeShade="80"/>
          <w:sz w:val="24"/>
          <w:szCs w:val="24"/>
        </w:rPr>
        <w:t>(b) and (c) the</w:t>
      </w:r>
      <w:r w:rsidR="008127AF" w:rsidRPr="00842A16">
        <w:rPr>
          <w:rFonts w:ascii="Book Antiqua" w:eastAsia="Calibri" w:hAnsi="Book Antiqua" w:cs="Times New Roman"/>
          <w:color w:val="1F3864" w:themeColor="accent1" w:themeShade="80"/>
          <w:sz w:val="24"/>
          <w:szCs w:val="24"/>
        </w:rPr>
        <w:t xml:space="preserve"> word ‘any’</w:t>
      </w:r>
      <w:r w:rsidRPr="00842A16">
        <w:rPr>
          <w:rFonts w:ascii="Book Antiqua" w:eastAsia="Calibri" w:hAnsi="Book Antiqua" w:cs="Times New Roman"/>
          <w:color w:val="1F3864" w:themeColor="accent1" w:themeShade="80"/>
          <w:sz w:val="24"/>
          <w:szCs w:val="24"/>
        </w:rPr>
        <w:t xml:space="preserve"> to be revised with the suggested phrase ‘any erring’ to protect innocent heads/accounting officers from vulnerability due to broad interpretations of the law</w:t>
      </w:r>
    </w:p>
    <w:p w14:paraId="030066AC" w14:textId="1F208DF5" w:rsidR="00755741" w:rsidRPr="00842A16" w:rsidRDefault="00755741" w:rsidP="008127AF">
      <w:pPr>
        <w:pStyle w:val="ListParagraph"/>
        <w:numPr>
          <w:ilvl w:val="0"/>
          <w:numId w:val="3"/>
        </w:numPr>
        <w:ind w:left="709" w:hanging="425"/>
        <w:jc w:val="both"/>
        <w:rPr>
          <w:rFonts w:ascii="Book Antiqua" w:eastAsia="Calibri" w:hAnsi="Book Antiqua" w:cs="Times New Roman"/>
          <w:color w:val="1F3864" w:themeColor="accent1" w:themeShade="80"/>
          <w:sz w:val="24"/>
          <w:szCs w:val="24"/>
        </w:rPr>
      </w:pPr>
      <w:r w:rsidRPr="00842A16">
        <w:rPr>
          <w:rFonts w:ascii="Book Antiqua" w:eastAsia="Calibri" w:hAnsi="Book Antiqua" w:cs="Times New Roman"/>
          <w:color w:val="1F3864" w:themeColor="accent1" w:themeShade="80"/>
          <w:sz w:val="24"/>
          <w:szCs w:val="24"/>
        </w:rPr>
        <w:t>(d) the phrase ‘a procuring and disposing entity’ to be revised with the suggested phrase ‘an erring procuring and disposing entity’</w:t>
      </w:r>
    </w:p>
    <w:p w14:paraId="3EF2C233" w14:textId="2CBE5C3E" w:rsidR="00755741" w:rsidRPr="00842A16" w:rsidRDefault="00EB0B7D" w:rsidP="00555280">
      <w:pPr>
        <w:jc w:val="both"/>
        <w:rPr>
          <w:rFonts w:ascii="Book Antiqua" w:eastAsia="Calibri" w:hAnsi="Book Antiqua" w:cs="Times New Roman"/>
          <w:b/>
          <w:color w:val="1F3864" w:themeColor="accent1" w:themeShade="80"/>
          <w:sz w:val="24"/>
          <w:szCs w:val="24"/>
        </w:rPr>
      </w:pPr>
      <w:r w:rsidRPr="00842A16">
        <w:rPr>
          <w:rFonts w:ascii="Book Antiqua" w:eastAsia="Calibri" w:hAnsi="Book Antiqua" w:cs="Times New Roman"/>
          <w:b/>
          <w:color w:val="1F3864" w:themeColor="accent1" w:themeShade="80"/>
          <w:sz w:val="24"/>
          <w:szCs w:val="24"/>
        </w:rPr>
        <w:t>Section</w:t>
      </w:r>
      <w:r w:rsidR="00555280" w:rsidRPr="00842A16">
        <w:rPr>
          <w:rFonts w:ascii="Book Antiqua" w:eastAsia="Calibri" w:hAnsi="Book Antiqua" w:cs="Times New Roman"/>
          <w:b/>
          <w:color w:val="1F3864" w:themeColor="accent1" w:themeShade="80"/>
          <w:sz w:val="24"/>
          <w:szCs w:val="24"/>
        </w:rPr>
        <w:t xml:space="preserve"> 12 (2)</w:t>
      </w:r>
    </w:p>
    <w:p w14:paraId="1DE58C18" w14:textId="12320F5F" w:rsidR="00555280" w:rsidRPr="00842A16" w:rsidRDefault="00555280" w:rsidP="00555280">
      <w:pPr>
        <w:pStyle w:val="ListParagraph"/>
        <w:numPr>
          <w:ilvl w:val="0"/>
          <w:numId w:val="4"/>
        </w:numPr>
        <w:jc w:val="both"/>
        <w:rPr>
          <w:rFonts w:ascii="Book Antiqua" w:eastAsia="Calibri" w:hAnsi="Book Antiqua" w:cs="Times New Roman"/>
          <w:b/>
          <w:color w:val="1F3864" w:themeColor="accent1" w:themeShade="80"/>
          <w:sz w:val="24"/>
          <w:szCs w:val="24"/>
        </w:rPr>
      </w:pPr>
      <w:r w:rsidRPr="00842A16">
        <w:rPr>
          <w:rFonts w:ascii="Book Antiqua" w:eastAsia="Calibri" w:hAnsi="Book Antiqua" w:cs="Times New Roman"/>
          <w:color w:val="1F3864" w:themeColor="accent1" w:themeShade="80"/>
          <w:sz w:val="24"/>
          <w:szCs w:val="24"/>
        </w:rPr>
        <w:t>non-state funding sources to be considered for inclusion in support of non-government actors</w:t>
      </w:r>
    </w:p>
    <w:p w14:paraId="25846ED4" w14:textId="0DCB82E7" w:rsidR="00555280" w:rsidRPr="00842A16" w:rsidRDefault="00555280" w:rsidP="00555280">
      <w:pPr>
        <w:jc w:val="both"/>
        <w:rPr>
          <w:rFonts w:ascii="Book Antiqua" w:eastAsia="Calibri" w:hAnsi="Book Antiqua" w:cs="Times New Roman"/>
          <w:b/>
          <w:color w:val="1F3864" w:themeColor="accent1" w:themeShade="80"/>
          <w:sz w:val="24"/>
          <w:szCs w:val="24"/>
        </w:rPr>
      </w:pPr>
      <w:r w:rsidRPr="00842A16">
        <w:rPr>
          <w:rFonts w:ascii="Book Antiqua" w:eastAsia="Calibri" w:hAnsi="Book Antiqua" w:cs="Times New Roman"/>
          <w:b/>
          <w:color w:val="1F3864" w:themeColor="accent1" w:themeShade="80"/>
          <w:sz w:val="24"/>
          <w:szCs w:val="24"/>
        </w:rPr>
        <w:t>Section 13</w:t>
      </w:r>
    </w:p>
    <w:p w14:paraId="6670BB3A" w14:textId="4E6BBFB3" w:rsidR="00555280" w:rsidRPr="00842A16" w:rsidRDefault="00555280" w:rsidP="00555280">
      <w:pPr>
        <w:pStyle w:val="ListParagraph"/>
        <w:numPr>
          <w:ilvl w:val="0"/>
          <w:numId w:val="4"/>
        </w:numPr>
        <w:jc w:val="both"/>
        <w:rPr>
          <w:rFonts w:ascii="Book Antiqua" w:eastAsia="Calibri" w:hAnsi="Book Antiqua" w:cs="Times New Roman"/>
          <w:color w:val="1F3864" w:themeColor="accent1" w:themeShade="80"/>
          <w:sz w:val="24"/>
          <w:szCs w:val="24"/>
        </w:rPr>
      </w:pPr>
      <w:r w:rsidRPr="00842A16">
        <w:rPr>
          <w:rFonts w:ascii="Book Antiqua" w:eastAsia="Calibri" w:hAnsi="Book Antiqua" w:cs="Times New Roman"/>
          <w:color w:val="1F3864" w:themeColor="accent1" w:themeShade="80"/>
          <w:sz w:val="24"/>
          <w:szCs w:val="24"/>
        </w:rPr>
        <w:t>subsection 1 is missing</w:t>
      </w:r>
    </w:p>
    <w:p w14:paraId="1639D8B4" w14:textId="5F4C0AE1" w:rsidR="003F1825" w:rsidRPr="00842A16" w:rsidRDefault="00555280" w:rsidP="003A254A">
      <w:pPr>
        <w:jc w:val="both"/>
        <w:rPr>
          <w:rFonts w:ascii="Book Antiqua" w:eastAsia="Calibri" w:hAnsi="Book Antiqua" w:cs="Times New Roman"/>
          <w:b/>
          <w:color w:val="1F3864" w:themeColor="accent1" w:themeShade="80"/>
          <w:sz w:val="24"/>
          <w:szCs w:val="24"/>
        </w:rPr>
      </w:pPr>
      <w:r w:rsidRPr="00842A16">
        <w:rPr>
          <w:rFonts w:ascii="Book Antiqua" w:eastAsia="Calibri" w:hAnsi="Book Antiqua" w:cs="Times New Roman"/>
          <w:b/>
          <w:color w:val="1F3864" w:themeColor="accent1" w:themeShade="80"/>
          <w:sz w:val="24"/>
          <w:szCs w:val="24"/>
        </w:rPr>
        <w:t>Section 13 (5) (b)</w:t>
      </w:r>
    </w:p>
    <w:p w14:paraId="37647E55" w14:textId="03A6FFA4" w:rsidR="00555280" w:rsidRPr="00842A16" w:rsidRDefault="00555280" w:rsidP="00555280">
      <w:pPr>
        <w:pStyle w:val="ListParagraph"/>
        <w:numPr>
          <w:ilvl w:val="0"/>
          <w:numId w:val="4"/>
        </w:numPr>
        <w:jc w:val="both"/>
        <w:rPr>
          <w:rFonts w:ascii="Book Antiqua" w:hAnsi="Book Antiqua"/>
          <w:b/>
          <w:color w:val="1F3864" w:themeColor="accent1" w:themeShade="80"/>
          <w:sz w:val="24"/>
          <w:szCs w:val="24"/>
        </w:rPr>
      </w:pPr>
      <w:r w:rsidRPr="00842A16">
        <w:rPr>
          <w:rFonts w:ascii="Book Antiqua" w:eastAsia="Calibri" w:hAnsi="Book Antiqua" w:cs="Times New Roman"/>
          <w:color w:val="1F3864" w:themeColor="accent1" w:themeShade="80"/>
          <w:sz w:val="24"/>
          <w:szCs w:val="24"/>
        </w:rPr>
        <w:t>‘</w:t>
      </w:r>
      <w:r w:rsidR="00E00C66" w:rsidRPr="00842A16">
        <w:rPr>
          <w:rFonts w:ascii="Book Antiqua" w:eastAsia="Calibri" w:hAnsi="Book Antiqua" w:cs="Times New Roman"/>
          <w:color w:val="1F3864" w:themeColor="accent1" w:themeShade="80"/>
          <w:sz w:val="24"/>
          <w:szCs w:val="24"/>
        </w:rPr>
        <w:t>Fourteen</w:t>
      </w:r>
      <w:r w:rsidRPr="00842A16">
        <w:rPr>
          <w:rFonts w:ascii="Book Antiqua" w:eastAsia="Calibri" w:hAnsi="Book Antiqua" w:cs="Times New Roman"/>
          <w:color w:val="1F3864" w:themeColor="accent1" w:themeShade="80"/>
          <w:sz w:val="24"/>
          <w:szCs w:val="24"/>
        </w:rPr>
        <w:t xml:space="preserve"> days’ suggested to be revised to ‘fourteen working days’ for consistency with 13 5 (a) with respect to communication between the State House of Assembly and Governor</w:t>
      </w:r>
      <w:r w:rsidR="003A508F" w:rsidRPr="00842A16">
        <w:rPr>
          <w:rFonts w:ascii="Book Antiqua" w:eastAsia="Calibri" w:hAnsi="Book Antiqua" w:cs="Times New Roman"/>
          <w:color w:val="1F3864" w:themeColor="accent1" w:themeShade="80"/>
          <w:sz w:val="24"/>
          <w:szCs w:val="24"/>
        </w:rPr>
        <w:t xml:space="preserve"> in response to the request for the removal of the Managing Director</w:t>
      </w:r>
    </w:p>
    <w:p w14:paraId="268484F3" w14:textId="77777777" w:rsidR="003A508F" w:rsidRPr="00842A16" w:rsidRDefault="003A508F" w:rsidP="003A508F">
      <w:pPr>
        <w:jc w:val="both"/>
        <w:rPr>
          <w:rFonts w:ascii="Book Antiqua" w:hAnsi="Book Antiqua"/>
          <w:b/>
          <w:color w:val="1F3864" w:themeColor="accent1" w:themeShade="80"/>
          <w:sz w:val="24"/>
          <w:szCs w:val="24"/>
        </w:rPr>
      </w:pPr>
      <w:r w:rsidRPr="00842A16">
        <w:rPr>
          <w:rFonts w:ascii="Book Antiqua" w:hAnsi="Book Antiqua"/>
          <w:b/>
          <w:color w:val="1F3864" w:themeColor="accent1" w:themeShade="80"/>
          <w:sz w:val="24"/>
          <w:szCs w:val="24"/>
        </w:rPr>
        <w:t>Section 14 (1)(b)</w:t>
      </w:r>
    </w:p>
    <w:p w14:paraId="0025B2F5" w14:textId="5B231ACE" w:rsidR="00555280" w:rsidRPr="00842A16" w:rsidRDefault="003A508F" w:rsidP="003A508F">
      <w:pPr>
        <w:pStyle w:val="ListParagraph"/>
        <w:numPr>
          <w:ilvl w:val="0"/>
          <w:numId w:val="4"/>
        </w:numPr>
        <w:jc w:val="both"/>
        <w:rPr>
          <w:rFonts w:ascii="Book Antiqua" w:eastAsia="Calibri" w:hAnsi="Book Antiqua" w:cs="Times New Roman"/>
          <w:color w:val="1F3864" w:themeColor="accent1" w:themeShade="80"/>
          <w:sz w:val="24"/>
          <w:szCs w:val="24"/>
        </w:rPr>
      </w:pPr>
      <w:r w:rsidRPr="00842A16">
        <w:rPr>
          <w:rFonts w:ascii="Book Antiqua" w:eastAsia="Calibri" w:hAnsi="Book Antiqua" w:cs="Times New Roman"/>
          <w:color w:val="1F3864" w:themeColor="accent1" w:themeShade="80"/>
          <w:sz w:val="24"/>
          <w:szCs w:val="24"/>
        </w:rPr>
        <w:t>Confirmation by 2/3 of the members of the State House of Assembly is recommended alongside the approval of the Governor for the appointment of the Secretary to the Board of the Agency</w:t>
      </w:r>
    </w:p>
    <w:p w14:paraId="5509CA27" w14:textId="49796310" w:rsidR="00705BB8" w:rsidRPr="00842A16" w:rsidRDefault="00705BB8" w:rsidP="00705BB8">
      <w:pPr>
        <w:jc w:val="both"/>
        <w:rPr>
          <w:rFonts w:ascii="Book Antiqua" w:eastAsia="Calibri" w:hAnsi="Book Antiqua" w:cs="Times New Roman"/>
          <w:b/>
          <w:color w:val="1F3864" w:themeColor="accent1" w:themeShade="80"/>
          <w:sz w:val="24"/>
          <w:szCs w:val="24"/>
        </w:rPr>
      </w:pPr>
      <w:r w:rsidRPr="00842A16">
        <w:rPr>
          <w:rFonts w:ascii="Book Antiqua" w:eastAsia="Calibri" w:hAnsi="Book Antiqua" w:cs="Times New Roman"/>
          <w:b/>
          <w:color w:val="1F3864" w:themeColor="accent1" w:themeShade="80"/>
          <w:sz w:val="24"/>
          <w:szCs w:val="24"/>
        </w:rPr>
        <w:t>Section 47 (2)</w:t>
      </w:r>
    </w:p>
    <w:p w14:paraId="50DA3980" w14:textId="221A0B97" w:rsidR="00705BB8" w:rsidRPr="00842A16" w:rsidRDefault="00705BB8" w:rsidP="00705BB8">
      <w:pPr>
        <w:pStyle w:val="ListParagraph"/>
        <w:numPr>
          <w:ilvl w:val="0"/>
          <w:numId w:val="4"/>
        </w:numPr>
        <w:jc w:val="both"/>
        <w:rPr>
          <w:rFonts w:ascii="Book Antiqua" w:eastAsia="Calibri" w:hAnsi="Book Antiqua" w:cs="Times New Roman"/>
          <w:color w:val="1F3864" w:themeColor="accent1" w:themeShade="80"/>
          <w:sz w:val="24"/>
          <w:szCs w:val="24"/>
        </w:rPr>
      </w:pPr>
      <w:r w:rsidRPr="00842A16">
        <w:rPr>
          <w:rFonts w:ascii="Book Antiqua" w:eastAsia="Calibri" w:hAnsi="Book Antiqua" w:cs="Times New Roman"/>
          <w:color w:val="1F3864" w:themeColor="accent1" w:themeShade="80"/>
          <w:sz w:val="24"/>
          <w:szCs w:val="24"/>
        </w:rPr>
        <w:t>Some clarity on the use of the term ‘good grounds’ would prevent the abuse of this section by procuring entities</w:t>
      </w:r>
    </w:p>
    <w:p w14:paraId="42B58F82" w14:textId="5721B4D2" w:rsidR="003A508F" w:rsidRPr="00842A16" w:rsidRDefault="00705BB8" w:rsidP="00705BB8">
      <w:pPr>
        <w:jc w:val="both"/>
        <w:rPr>
          <w:rFonts w:ascii="Book Antiqua" w:hAnsi="Book Antiqua" w:cs="Times New Roman"/>
          <w:b/>
          <w:bCs/>
          <w:color w:val="1F3864" w:themeColor="accent1" w:themeShade="80"/>
          <w:sz w:val="24"/>
          <w:szCs w:val="24"/>
        </w:rPr>
      </w:pPr>
      <w:r w:rsidRPr="00842A16">
        <w:rPr>
          <w:rFonts w:ascii="Book Antiqua" w:hAnsi="Book Antiqua" w:cs="Times New Roman"/>
          <w:b/>
          <w:bCs/>
          <w:color w:val="1F3864" w:themeColor="accent1" w:themeShade="80"/>
          <w:sz w:val="24"/>
          <w:szCs w:val="24"/>
        </w:rPr>
        <w:lastRenderedPageBreak/>
        <w:t>Section 52 (1)</w:t>
      </w:r>
    </w:p>
    <w:p w14:paraId="78AA9C82" w14:textId="3CEDFFA2" w:rsidR="00885BA1" w:rsidRPr="00842A16" w:rsidRDefault="00885BA1" w:rsidP="00885BA1">
      <w:pPr>
        <w:pStyle w:val="ListParagraph"/>
        <w:numPr>
          <w:ilvl w:val="0"/>
          <w:numId w:val="4"/>
        </w:numPr>
        <w:jc w:val="both"/>
        <w:rPr>
          <w:rFonts w:ascii="Book Antiqua" w:hAnsi="Book Antiqua" w:cs="Times New Roman"/>
          <w:b/>
          <w:bCs/>
          <w:color w:val="1F3864" w:themeColor="accent1" w:themeShade="80"/>
          <w:sz w:val="24"/>
          <w:szCs w:val="24"/>
        </w:rPr>
      </w:pPr>
      <w:r w:rsidRPr="00842A16">
        <w:rPr>
          <w:rFonts w:ascii="Book Antiqua" w:hAnsi="Book Antiqua" w:cs="Times New Roman"/>
          <w:bCs/>
          <w:color w:val="1F3864" w:themeColor="accent1" w:themeShade="80"/>
          <w:sz w:val="24"/>
          <w:szCs w:val="24"/>
        </w:rPr>
        <w:t xml:space="preserve">the margin of preference granted to </w:t>
      </w:r>
      <w:r w:rsidR="00B9703B" w:rsidRPr="00842A16">
        <w:rPr>
          <w:rFonts w:ascii="Book Antiqua" w:hAnsi="Book Antiqua" w:cs="Times New Roman"/>
          <w:bCs/>
          <w:color w:val="1F3864" w:themeColor="accent1" w:themeShade="80"/>
          <w:sz w:val="24"/>
          <w:szCs w:val="24"/>
        </w:rPr>
        <w:t xml:space="preserve">domestic </w:t>
      </w:r>
      <w:r w:rsidRPr="00842A16">
        <w:rPr>
          <w:rFonts w:ascii="Book Antiqua" w:hAnsi="Book Antiqua" w:cs="Times New Roman"/>
          <w:bCs/>
          <w:color w:val="1F3864" w:themeColor="accent1" w:themeShade="80"/>
          <w:sz w:val="24"/>
          <w:szCs w:val="24"/>
        </w:rPr>
        <w:t>bidders should be accompanied by a caveat on</w:t>
      </w:r>
      <w:r w:rsidR="00B9703B" w:rsidRPr="00842A16">
        <w:rPr>
          <w:rFonts w:ascii="Book Antiqua" w:hAnsi="Book Antiqua" w:cs="Times New Roman"/>
          <w:bCs/>
          <w:color w:val="1F3864" w:themeColor="accent1" w:themeShade="80"/>
          <w:sz w:val="24"/>
          <w:szCs w:val="24"/>
        </w:rPr>
        <w:t xml:space="preserve"> non-compromise of standards in determining responsive bids</w:t>
      </w:r>
    </w:p>
    <w:p w14:paraId="56764257" w14:textId="77777777" w:rsidR="009E3C83" w:rsidRPr="00842A16" w:rsidRDefault="009E3C83" w:rsidP="009E3C83">
      <w:pPr>
        <w:jc w:val="both"/>
        <w:rPr>
          <w:rFonts w:ascii="Book Antiqua" w:hAnsi="Book Antiqua" w:cs="Times New Roman"/>
          <w:b/>
          <w:bCs/>
          <w:color w:val="1F3864" w:themeColor="accent1" w:themeShade="80"/>
          <w:sz w:val="24"/>
          <w:szCs w:val="24"/>
        </w:rPr>
      </w:pPr>
      <w:r w:rsidRPr="00842A16">
        <w:rPr>
          <w:rFonts w:ascii="Book Antiqua" w:hAnsi="Book Antiqua" w:cs="Times New Roman"/>
          <w:b/>
          <w:bCs/>
          <w:color w:val="1F3864" w:themeColor="accent1" w:themeShade="80"/>
          <w:sz w:val="24"/>
          <w:szCs w:val="24"/>
        </w:rPr>
        <w:t xml:space="preserve">Section 54 (2) </w:t>
      </w:r>
    </w:p>
    <w:p w14:paraId="35C1B756" w14:textId="746D5918" w:rsidR="009E3C83" w:rsidRPr="00842A16" w:rsidRDefault="009E3C83" w:rsidP="009E3C83">
      <w:pPr>
        <w:pStyle w:val="ListParagraph"/>
        <w:numPr>
          <w:ilvl w:val="0"/>
          <w:numId w:val="4"/>
        </w:numPr>
        <w:jc w:val="both"/>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The provision ‘Provided that the procuring entity shall not request a proposal where the services include the production of goods in quantities sufficient to establish their commercial viability or to recover research and development cost’ appears isolated and nebulous</w:t>
      </w:r>
    </w:p>
    <w:p w14:paraId="21FFE9A7" w14:textId="1696CF7E" w:rsidR="009E3C83" w:rsidRPr="00842A16" w:rsidRDefault="009E3C83" w:rsidP="009E3C83">
      <w:pPr>
        <w:jc w:val="both"/>
        <w:rPr>
          <w:rFonts w:ascii="Book Antiqua" w:hAnsi="Book Antiqua" w:cs="Times New Roman"/>
          <w:b/>
          <w:color w:val="1F3864" w:themeColor="accent1" w:themeShade="80"/>
          <w:sz w:val="24"/>
          <w:szCs w:val="24"/>
        </w:rPr>
      </w:pPr>
      <w:r w:rsidRPr="00842A16">
        <w:rPr>
          <w:rFonts w:ascii="Book Antiqua" w:hAnsi="Book Antiqua" w:cs="Times New Roman"/>
          <w:b/>
          <w:color w:val="1F3864" w:themeColor="accent1" w:themeShade="80"/>
          <w:sz w:val="24"/>
          <w:szCs w:val="24"/>
        </w:rPr>
        <w:t>Sections 66 (2)</w:t>
      </w:r>
      <w:r w:rsidR="006766AF" w:rsidRPr="00842A16">
        <w:rPr>
          <w:rFonts w:ascii="Book Antiqua" w:hAnsi="Book Antiqua" w:cs="Times New Roman"/>
          <w:b/>
          <w:color w:val="1F3864" w:themeColor="accent1" w:themeShade="80"/>
          <w:sz w:val="24"/>
          <w:szCs w:val="24"/>
        </w:rPr>
        <w:t xml:space="preserve"> (b), (c) and (e)</w:t>
      </w:r>
    </w:p>
    <w:p w14:paraId="60C8C028" w14:textId="531A0BAF" w:rsidR="006766AF" w:rsidRPr="00842A16" w:rsidRDefault="006766AF" w:rsidP="006766AF">
      <w:pPr>
        <w:pStyle w:val="ListParagraph"/>
        <w:numPr>
          <w:ilvl w:val="0"/>
          <w:numId w:val="4"/>
        </w:numPr>
        <w:jc w:val="both"/>
        <w:rPr>
          <w:rFonts w:ascii="Book Antiqua" w:hAnsi="Book Antiqua" w:cs="Times New Roman"/>
          <w:b/>
          <w:color w:val="1F3864" w:themeColor="accent1" w:themeShade="80"/>
          <w:sz w:val="24"/>
          <w:szCs w:val="24"/>
        </w:rPr>
      </w:pPr>
      <w:r w:rsidRPr="00842A16">
        <w:rPr>
          <w:rFonts w:ascii="Book Antiqua" w:hAnsi="Book Antiqua" w:cs="Times New Roman"/>
          <w:color w:val="1F3864" w:themeColor="accent1" w:themeShade="80"/>
          <w:sz w:val="24"/>
          <w:szCs w:val="24"/>
        </w:rPr>
        <w:t xml:space="preserve">There is need to revise the expression ‘any books, records, accounts or documents’, with a caveat on the relevance to the review or investigation process </w:t>
      </w:r>
    </w:p>
    <w:p w14:paraId="733680B8" w14:textId="12332F78" w:rsidR="000B3C85" w:rsidRPr="00842A16" w:rsidRDefault="000B3C85" w:rsidP="000B3C85">
      <w:pPr>
        <w:jc w:val="both"/>
        <w:rPr>
          <w:rFonts w:ascii="Book Antiqua" w:hAnsi="Book Antiqua" w:cs="Times New Roman"/>
          <w:b/>
          <w:color w:val="1F3864" w:themeColor="accent1" w:themeShade="80"/>
          <w:sz w:val="24"/>
          <w:szCs w:val="24"/>
        </w:rPr>
      </w:pPr>
      <w:r w:rsidRPr="00842A16">
        <w:rPr>
          <w:rFonts w:ascii="Book Antiqua" w:hAnsi="Book Antiqua" w:cs="Times New Roman"/>
          <w:b/>
          <w:color w:val="1F3864" w:themeColor="accent1" w:themeShade="80"/>
          <w:sz w:val="24"/>
          <w:szCs w:val="24"/>
        </w:rPr>
        <w:t>Sections 68 (1) (f) and 68 2 (d)</w:t>
      </w:r>
    </w:p>
    <w:p w14:paraId="547B1DCD" w14:textId="269ABA6F" w:rsidR="000B3C85" w:rsidRPr="00842A16" w:rsidRDefault="001C2859" w:rsidP="000B3C85">
      <w:pPr>
        <w:pStyle w:val="ListParagraph"/>
        <w:numPr>
          <w:ilvl w:val="0"/>
          <w:numId w:val="4"/>
        </w:numPr>
        <w:jc w:val="both"/>
        <w:rPr>
          <w:rFonts w:ascii="Book Antiqua" w:hAnsi="Book Antiqua" w:cs="Times New Roman"/>
          <w:b/>
          <w:color w:val="1F3864" w:themeColor="accent1" w:themeShade="80"/>
          <w:sz w:val="24"/>
          <w:szCs w:val="24"/>
        </w:rPr>
      </w:pPr>
      <w:r w:rsidRPr="00842A16">
        <w:rPr>
          <w:rFonts w:ascii="Book Antiqua" w:hAnsi="Book Antiqua" w:cs="Times New Roman"/>
          <w:color w:val="1F3864" w:themeColor="accent1" w:themeShade="80"/>
          <w:sz w:val="24"/>
          <w:szCs w:val="24"/>
        </w:rPr>
        <w:t xml:space="preserve">The adjudicatory provision that the decision of the State High Court </w:t>
      </w:r>
      <w:r w:rsidR="006372B1" w:rsidRPr="00842A16">
        <w:rPr>
          <w:rFonts w:ascii="Book Antiqua" w:hAnsi="Book Antiqua" w:cs="Times New Roman"/>
          <w:color w:val="1F3864" w:themeColor="accent1" w:themeShade="80"/>
          <w:sz w:val="24"/>
          <w:szCs w:val="24"/>
        </w:rPr>
        <w:t>shall be final and binding appears contradictory to the constitutional provision of seeking reprieve through to the Supreme Court of Nigeria</w:t>
      </w:r>
    </w:p>
    <w:p w14:paraId="09632E25" w14:textId="29AD7E55" w:rsidR="00B9703B" w:rsidRPr="00842A16" w:rsidRDefault="000A2D14" w:rsidP="00B9703B">
      <w:pPr>
        <w:jc w:val="both"/>
        <w:rPr>
          <w:rFonts w:ascii="Book Antiqua" w:hAnsi="Book Antiqua" w:cs="Times New Roman"/>
          <w:b/>
          <w:bCs/>
          <w:color w:val="1F3864" w:themeColor="accent1" w:themeShade="80"/>
          <w:sz w:val="24"/>
          <w:szCs w:val="24"/>
        </w:rPr>
      </w:pPr>
      <w:r w:rsidRPr="00842A16">
        <w:rPr>
          <w:rFonts w:ascii="Book Antiqua" w:hAnsi="Book Antiqua" w:cs="Times New Roman"/>
          <w:b/>
          <w:bCs/>
          <w:color w:val="1F3864" w:themeColor="accent1" w:themeShade="80"/>
          <w:sz w:val="24"/>
          <w:szCs w:val="24"/>
        </w:rPr>
        <w:t>Sections 72 (1), 72 (10) (a), and 72 (14)</w:t>
      </w:r>
    </w:p>
    <w:p w14:paraId="30BE9419" w14:textId="41C09441" w:rsidR="000A2D14" w:rsidRPr="00842A16" w:rsidRDefault="000A2D14" w:rsidP="000A2D14">
      <w:pPr>
        <w:pStyle w:val="ListParagraph"/>
        <w:numPr>
          <w:ilvl w:val="0"/>
          <w:numId w:val="4"/>
        </w:numPr>
        <w:jc w:val="both"/>
        <w:rPr>
          <w:rFonts w:ascii="Book Antiqua" w:hAnsi="Book Antiqua" w:cs="Times New Roman"/>
          <w:bCs/>
          <w:color w:val="1F3864" w:themeColor="accent1" w:themeShade="80"/>
          <w:sz w:val="24"/>
          <w:szCs w:val="24"/>
        </w:rPr>
      </w:pPr>
      <w:r w:rsidRPr="00842A16">
        <w:rPr>
          <w:rFonts w:ascii="Book Antiqua" w:hAnsi="Book Antiqua" w:cs="Times New Roman"/>
          <w:bCs/>
          <w:color w:val="1F3864" w:themeColor="accent1" w:themeShade="80"/>
          <w:sz w:val="24"/>
          <w:szCs w:val="24"/>
        </w:rPr>
        <w:t>Consider replacing and/or with the expression ‘with an option of fine’</w:t>
      </w:r>
    </w:p>
    <w:p w14:paraId="0A955FA8" w14:textId="77777777" w:rsidR="00F7180D" w:rsidRPr="00842A16" w:rsidRDefault="00F7180D" w:rsidP="00B9703B">
      <w:pPr>
        <w:jc w:val="both"/>
        <w:rPr>
          <w:rFonts w:ascii="Book Antiqua" w:hAnsi="Book Antiqua" w:cs="Times New Roman"/>
          <w:b/>
          <w:bCs/>
          <w:i/>
          <w:iCs/>
          <w:color w:val="1F3864" w:themeColor="accent1" w:themeShade="80"/>
          <w:sz w:val="24"/>
          <w:szCs w:val="24"/>
        </w:rPr>
      </w:pPr>
    </w:p>
    <w:p w14:paraId="13DBDB4A" w14:textId="6B3926E0" w:rsidR="00B9703B" w:rsidRPr="00842A16" w:rsidRDefault="00E21D3F" w:rsidP="00B9703B">
      <w:pPr>
        <w:jc w:val="both"/>
        <w:rPr>
          <w:rFonts w:ascii="Book Antiqua" w:hAnsi="Book Antiqua" w:cs="Times New Roman"/>
          <w:b/>
          <w:bCs/>
          <w:i/>
          <w:iCs/>
          <w:color w:val="1F3864" w:themeColor="accent1" w:themeShade="80"/>
          <w:sz w:val="24"/>
          <w:szCs w:val="24"/>
        </w:rPr>
      </w:pPr>
      <w:r w:rsidRPr="00842A16">
        <w:rPr>
          <w:rFonts w:ascii="Book Antiqua" w:hAnsi="Book Antiqua" w:cs="Times New Roman"/>
          <w:b/>
          <w:bCs/>
          <w:i/>
          <w:iCs/>
          <w:color w:val="1F3864" w:themeColor="accent1" w:themeShade="80"/>
          <w:sz w:val="24"/>
          <w:szCs w:val="24"/>
        </w:rPr>
        <w:t>Other General Observations</w:t>
      </w:r>
    </w:p>
    <w:p w14:paraId="6FB8BA3D" w14:textId="22ECB440" w:rsidR="00705BB8" w:rsidRPr="00842A16" w:rsidRDefault="00E21D3F" w:rsidP="00E21D3F">
      <w:pPr>
        <w:pStyle w:val="ListParagraph"/>
        <w:numPr>
          <w:ilvl w:val="0"/>
          <w:numId w:val="4"/>
        </w:numPr>
        <w:jc w:val="both"/>
        <w:rPr>
          <w:rFonts w:ascii="Book Antiqua" w:hAnsi="Book Antiqua" w:cs="Times New Roman"/>
          <w:b/>
          <w:bCs/>
          <w:color w:val="1F3864" w:themeColor="accent1" w:themeShade="80"/>
          <w:sz w:val="24"/>
          <w:szCs w:val="24"/>
        </w:rPr>
      </w:pPr>
      <w:r w:rsidRPr="00842A16">
        <w:rPr>
          <w:rFonts w:ascii="Book Antiqua" w:hAnsi="Book Antiqua" w:cs="Times New Roman"/>
          <w:bCs/>
          <w:color w:val="1F3864" w:themeColor="accent1" w:themeShade="80"/>
          <w:sz w:val="24"/>
          <w:szCs w:val="24"/>
        </w:rPr>
        <w:t>There is need for consistency in gender responsiveness in some sections of the law</w:t>
      </w:r>
    </w:p>
    <w:p w14:paraId="5DF53485" w14:textId="3DC09DEC" w:rsidR="00E21D3F" w:rsidRPr="00842A16" w:rsidRDefault="00E21D3F" w:rsidP="00E21D3F">
      <w:pPr>
        <w:pStyle w:val="ListParagraph"/>
        <w:numPr>
          <w:ilvl w:val="0"/>
          <w:numId w:val="4"/>
        </w:numPr>
        <w:jc w:val="both"/>
        <w:rPr>
          <w:rFonts w:ascii="Book Antiqua" w:hAnsi="Book Antiqua" w:cs="Times New Roman"/>
          <w:b/>
          <w:bCs/>
          <w:color w:val="1F3864" w:themeColor="accent1" w:themeShade="80"/>
          <w:sz w:val="24"/>
          <w:szCs w:val="24"/>
        </w:rPr>
      </w:pPr>
      <w:r w:rsidRPr="00842A16">
        <w:rPr>
          <w:rFonts w:ascii="Book Antiqua" w:hAnsi="Book Antiqua" w:cs="Times New Roman"/>
          <w:bCs/>
          <w:color w:val="1F3864" w:themeColor="accent1" w:themeShade="80"/>
          <w:sz w:val="24"/>
          <w:szCs w:val="24"/>
        </w:rPr>
        <w:t xml:space="preserve">There is need to be consistent in the use of the stakeholders and their services with reference to the use of the words </w:t>
      </w:r>
      <w:r w:rsidR="00D64324" w:rsidRPr="00842A16">
        <w:rPr>
          <w:rFonts w:ascii="Book Antiqua" w:hAnsi="Book Antiqua" w:cs="Times New Roman"/>
          <w:bCs/>
          <w:color w:val="1F3864" w:themeColor="accent1" w:themeShade="80"/>
          <w:sz w:val="24"/>
          <w:szCs w:val="24"/>
        </w:rPr>
        <w:t>‘</w:t>
      </w:r>
      <w:r w:rsidRPr="00842A16">
        <w:rPr>
          <w:rFonts w:ascii="Book Antiqua" w:hAnsi="Book Antiqua" w:cs="Times New Roman"/>
          <w:bCs/>
          <w:color w:val="1F3864" w:themeColor="accent1" w:themeShade="80"/>
          <w:sz w:val="24"/>
          <w:szCs w:val="24"/>
        </w:rPr>
        <w:t>goods, works and service</w:t>
      </w:r>
      <w:r w:rsidR="00D64324" w:rsidRPr="00842A16">
        <w:rPr>
          <w:rFonts w:ascii="Book Antiqua" w:hAnsi="Book Antiqua" w:cs="Times New Roman"/>
          <w:bCs/>
          <w:color w:val="1F3864" w:themeColor="accent1" w:themeShade="80"/>
          <w:sz w:val="24"/>
          <w:szCs w:val="24"/>
        </w:rPr>
        <w:t>s’</w:t>
      </w:r>
      <w:r w:rsidRPr="00842A16">
        <w:rPr>
          <w:rFonts w:ascii="Book Antiqua" w:hAnsi="Book Antiqua" w:cs="Times New Roman"/>
          <w:bCs/>
          <w:color w:val="1F3864" w:themeColor="accent1" w:themeShade="80"/>
          <w:sz w:val="24"/>
          <w:szCs w:val="24"/>
        </w:rPr>
        <w:t xml:space="preserve">; and </w:t>
      </w:r>
      <w:r w:rsidR="00D64324" w:rsidRPr="00842A16">
        <w:rPr>
          <w:rFonts w:ascii="Book Antiqua" w:hAnsi="Book Antiqua" w:cs="Times New Roman"/>
          <w:bCs/>
          <w:color w:val="1F3864" w:themeColor="accent1" w:themeShade="80"/>
          <w:sz w:val="24"/>
          <w:szCs w:val="24"/>
        </w:rPr>
        <w:t>‘</w:t>
      </w:r>
      <w:r w:rsidRPr="00842A16">
        <w:rPr>
          <w:rFonts w:ascii="Book Antiqua" w:hAnsi="Book Antiqua" w:cs="Times New Roman"/>
          <w:bCs/>
          <w:color w:val="1F3864" w:themeColor="accent1" w:themeShade="80"/>
          <w:sz w:val="24"/>
          <w:szCs w:val="24"/>
        </w:rPr>
        <w:t>suppliers, contractors and service providers</w:t>
      </w:r>
      <w:r w:rsidR="00D64324" w:rsidRPr="00842A16">
        <w:rPr>
          <w:rFonts w:ascii="Book Antiqua" w:hAnsi="Book Antiqua" w:cs="Times New Roman"/>
          <w:bCs/>
          <w:color w:val="1F3864" w:themeColor="accent1" w:themeShade="80"/>
          <w:sz w:val="24"/>
          <w:szCs w:val="24"/>
        </w:rPr>
        <w:t>’</w:t>
      </w:r>
      <w:r w:rsidRPr="00842A16">
        <w:rPr>
          <w:rFonts w:ascii="Book Antiqua" w:hAnsi="Book Antiqua" w:cs="Times New Roman"/>
          <w:bCs/>
          <w:color w:val="1F3864" w:themeColor="accent1" w:themeShade="80"/>
          <w:sz w:val="24"/>
          <w:szCs w:val="24"/>
        </w:rPr>
        <w:t xml:space="preserve"> </w:t>
      </w:r>
      <w:r w:rsidR="00D64324" w:rsidRPr="00842A16">
        <w:rPr>
          <w:rFonts w:ascii="Book Antiqua" w:hAnsi="Book Antiqua" w:cs="Times New Roman"/>
          <w:bCs/>
          <w:color w:val="1F3864" w:themeColor="accent1" w:themeShade="80"/>
          <w:sz w:val="24"/>
          <w:szCs w:val="24"/>
        </w:rPr>
        <w:t>as applicable</w:t>
      </w:r>
    </w:p>
    <w:p w14:paraId="6DCBBE3C" w14:textId="48C2A964" w:rsidR="00E21D3F" w:rsidRPr="00842A16" w:rsidRDefault="00E21D3F" w:rsidP="00E21D3F">
      <w:pPr>
        <w:pStyle w:val="ListParagraph"/>
        <w:numPr>
          <w:ilvl w:val="0"/>
          <w:numId w:val="4"/>
        </w:numPr>
        <w:jc w:val="both"/>
        <w:rPr>
          <w:rFonts w:ascii="Book Antiqua" w:hAnsi="Book Antiqua" w:cs="Times New Roman"/>
          <w:b/>
          <w:bCs/>
          <w:color w:val="1F3864" w:themeColor="accent1" w:themeShade="80"/>
          <w:sz w:val="24"/>
          <w:szCs w:val="24"/>
        </w:rPr>
      </w:pPr>
      <w:r w:rsidRPr="00842A16">
        <w:rPr>
          <w:rFonts w:ascii="Book Antiqua" w:hAnsi="Book Antiqua" w:cs="Times New Roman"/>
          <w:bCs/>
          <w:color w:val="1F3864" w:themeColor="accent1" w:themeShade="80"/>
          <w:sz w:val="24"/>
          <w:szCs w:val="24"/>
        </w:rPr>
        <w:t>There is need for consistency in the use of initial capitalization for key words all through the document to enhance readability and clarity of meaning and intention</w:t>
      </w:r>
    </w:p>
    <w:p w14:paraId="14044AD2" w14:textId="69A2FB15" w:rsidR="000A2D14" w:rsidRPr="00842A16" w:rsidRDefault="000A2D14" w:rsidP="00E21D3F">
      <w:pPr>
        <w:pStyle w:val="ListParagraph"/>
        <w:numPr>
          <w:ilvl w:val="0"/>
          <w:numId w:val="4"/>
        </w:numPr>
        <w:jc w:val="both"/>
        <w:rPr>
          <w:rFonts w:ascii="Book Antiqua" w:hAnsi="Book Antiqua" w:cs="Times New Roman"/>
          <w:b/>
          <w:bCs/>
          <w:color w:val="1F3864" w:themeColor="accent1" w:themeShade="80"/>
          <w:sz w:val="24"/>
          <w:szCs w:val="24"/>
        </w:rPr>
      </w:pPr>
      <w:r w:rsidRPr="00842A16">
        <w:rPr>
          <w:rFonts w:ascii="Book Antiqua" w:hAnsi="Book Antiqua" w:cs="Times New Roman"/>
          <w:bCs/>
          <w:color w:val="1F3864" w:themeColor="accent1" w:themeShade="80"/>
          <w:sz w:val="24"/>
          <w:szCs w:val="24"/>
        </w:rPr>
        <w:t>There is need for copy-editing</w:t>
      </w:r>
      <w:r w:rsidR="00741742" w:rsidRPr="00842A16">
        <w:rPr>
          <w:rFonts w:ascii="Book Antiqua" w:hAnsi="Book Antiqua" w:cs="Times New Roman"/>
          <w:bCs/>
          <w:color w:val="1F3864" w:themeColor="accent1" w:themeShade="80"/>
          <w:sz w:val="24"/>
          <w:szCs w:val="24"/>
        </w:rPr>
        <w:t xml:space="preserve"> to enhance r</w:t>
      </w:r>
      <w:r w:rsidRPr="00842A16">
        <w:rPr>
          <w:rFonts w:ascii="Book Antiqua" w:hAnsi="Book Antiqua" w:cs="Times New Roman"/>
          <w:bCs/>
          <w:color w:val="1F3864" w:themeColor="accent1" w:themeShade="80"/>
          <w:sz w:val="24"/>
          <w:szCs w:val="24"/>
        </w:rPr>
        <w:t>eada</w:t>
      </w:r>
      <w:r w:rsidR="00741742" w:rsidRPr="00842A16">
        <w:rPr>
          <w:rFonts w:ascii="Book Antiqua" w:hAnsi="Book Antiqua" w:cs="Times New Roman"/>
          <w:bCs/>
          <w:color w:val="1F3864" w:themeColor="accent1" w:themeShade="80"/>
          <w:sz w:val="24"/>
          <w:szCs w:val="24"/>
        </w:rPr>
        <w:t>bility</w:t>
      </w:r>
    </w:p>
    <w:p w14:paraId="0752D45B" w14:textId="77777777" w:rsidR="00741742" w:rsidRPr="00842A16" w:rsidRDefault="00741742" w:rsidP="00741742">
      <w:pPr>
        <w:jc w:val="both"/>
        <w:rPr>
          <w:rFonts w:ascii="Book Antiqua" w:hAnsi="Book Antiqua" w:cs="Times New Roman"/>
          <w:b/>
          <w:bCs/>
          <w:color w:val="1F3864" w:themeColor="accent1" w:themeShade="80"/>
          <w:sz w:val="24"/>
          <w:szCs w:val="24"/>
        </w:rPr>
      </w:pPr>
    </w:p>
    <w:p w14:paraId="0FA96D0B" w14:textId="2CC36A5C" w:rsidR="00741742" w:rsidRPr="00842A16" w:rsidRDefault="00741742" w:rsidP="00741742">
      <w:pPr>
        <w:jc w:val="both"/>
        <w:rPr>
          <w:rFonts w:ascii="Book Antiqua" w:hAnsi="Book Antiqua" w:cs="Times New Roman"/>
          <w:b/>
          <w:bCs/>
          <w:color w:val="1F3864" w:themeColor="accent1" w:themeShade="80"/>
          <w:sz w:val="24"/>
          <w:szCs w:val="24"/>
        </w:rPr>
      </w:pPr>
      <w:bookmarkStart w:id="5" w:name="_Hlk113891090"/>
      <w:r w:rsidRPr="00842A16">
        <w:rPr>
          <w:rFonts w:ascii="Book Antiqua" w:hAnsi="Book Antiqua" w:cs="Times New Roman"/>
          <w:b/>
          <w:bCs/>
          <w:color w:val="1F3864" w:themeColor="accent1" w:themeShade="80"/>
          <w:sz w:val="24"/>
          <w:szCs w:val="24"/>
        </w:rPr>
        <w:t xml:space="preserve">Procurement Procedures Manual </w:t>
      </w:r>
    </w:p>
    <w:bookmarkEnd w:id="5"/>
    <w:p w14:paraId="37C79CA0" w14:textId="7FD08043" w:rsidR="00BB1C10" w:rsidRPr="00842A16" w:rsidRDefault="00BB1C10" w:rsidP="00741742">
      <w:pPr>
        <w:jc w:val="both"/>
        <w:rPr>
          <w:rFonts w:ascii="Book Antiqua" w:hAnsi="Book Antiqua" w:cs="Times New Roman"/>
          <w:b/>
          <w:bCs/>
          <w:i/>
          <w:iCs/>
          <w:color w:val="1F3864" w:themeColor="accent1" w:themeShade="80"/>
          <w:sz w:val="24"/>
          <w:szCs w:val="24"/>
        </w:rPr>
      </w:pPr>
      <w:r w:rsidRPr="00842A16">
        <w:rPr>
          <w:rFonts w:ascii="Book Antiqua" w:hAnsi="Book Antiqua" w:cs="Times New Roman"/>
          <w:b/>
          <w:bCs/>
          <w:i/>
          <w:iCs/>
          <w:color w:val="1F3864" w:themeColor="accent1" w:themeShade="80"/>
          <w:sz w:val="24"/>
          <w:szCs w:val="24"/>
        </w:rPr>
        <w:t>Pros</w:t>
      </w:r>
    </w:p>
    <w:p w14:paraId="4A4F53D4" w14:textId="0BB8F771" w:rsidR="003A508F" w:rsidRPr="00842A16" w:rsidRDefault="00BB1C10" w:rsidP="00741742">
      <w:pPr>
        <w:jc w:val="both"/>
        <w:rPr>
          <w:rFonts w:ascii="Book Antiqua" w:hAnsi="Book Antiqua" w:cs="Times New Roman"/>
          <w:bCs/>
          <w:color w:val="1F3864" w:themeColor="accent1" w:themeShade="80"/>
          <w:sz w:val="24"/>
          <w:szCs w:val="24"/>
        </w:rPr>
      </w:pPr>
      <w:r w:rsidRPr="00842A16">
        <w:rPr>
          <w:rFonts w:ascii="Book Antiqua" w:hAnsi="Book Antiqua" w:cs="Times New Roman"/>
          <w:bCs/>
          <w:color w:val="1F3864" w:themeColor="accent1" w:themeShade="80"/>
          <w:sz w:val="24"/>
          <w:szCs w:val="24"/>
        </w:rPr>
        <w:t xml:space="preserve">As stated in the manual, it aligns with the public procurement law in providing guidance for the implementation of its regulations specifically to ensure fairness, reliability, economy, efficiency, transparency, accountability, deterrence from corrupt practices and </w:t>
      </w:r>
      <w:r w:rsidRPr="00842A16">
        <w:rPr>
          <w:rFonts w:ascii="Book Antiqua" w:hAnsi="Book Antiqua" w:cs="Times New Roman"/>
          <w:bCs/>
          <w:color w:val="1F3864" w:themeColor="accent1" w:themeShade="80"/>
          <w:sz w:val="24"/>
          <w:szCs w:val="24"/>
        </w:rPr>
        <w:lastRenderedPageBreak/>
        <w:t>maintenance of high ethical standards in procurement practices involving public institutions in Edo state.</w:t>
      </w:r>
      <w:r w:rsidR="00685E31" w:rsidRPr="00842A16">
        <w:rPr>
          <w:rFonts w:ascii="Book Antiqua" w:hAnsi="Book Antiqua" w:cs="Times New Roman"/>
          <w:bCs/>
          <w:color w:val="1F3864" w:themeColor="accent1" w:themeShade="80"/>
          <w:sz w:val="24"/>
          <w:szCs w:val="24"/>
        </w:rPr>
        <w:t xml:space="preserve"> The Manual is divided into four major sections labe</w:t>
      </w:r>
      <w:r w:rsidR="00323617" w:rsidRPr="00842A16">
        <w:rPr>
          <w:rFonts w:ascii="Book Antiqua" w:hAnsi="Book Antiqua" w:cs="Times New Roman"/>
          <w:bCs/>
          <w:color w:val="1F3864" w:themeColor="accent1" w:themeShade="80"/>
          <w:sz w:val="24"/>
          <w:szCs w:val="24"/>
        </w:rPr>
        <w:t>le</w:t>
      </w:r>
      <w:r w:rsidR="00685E31" w:rsidRPr="00842A16">
        <w:rPr>
          <w:rFonts w:ascii="Book Antiqua" w:hAnsi="Book Antiqua" w:cs="Times New Roman"/>
          <w:bCs/>
          <w:color w:val="1F3864" w:themeColor="accent1" w:themeShade="80"/>
          <w:sz w:val="24"/>
          <w:szCs w:val="24"/>
        </w:rPr>
        <w:t>d Sections A-D</w:t>
      </w:r>
      <w:r w:rsidR="00323617" w:rsidRPr="00842A16">
        <w:rPr>
          <w:rFonts w:ascii="Book Antiqua" w:hAnsi="Book Antiqua" w:cs="Times New Roman"/>
          <w:bCs/>
          <w:color w:val="1F3864" w:themeColor="accent1" w:themeShade="80"/>
          <w:sz w:val="24"/>
          <w:szCs w:val="24"/>
        </w:rPr>
        <w:t xml:space="preserve">. The Section A deals with the legal framework and principles of procurement as applicable to the state, while the Section B treats the institutional framework for procurement practices in detail. Section </w:t>
      </w:r>
      <w:r w:rsidR="00B41C82">
        <w:rPr>
          <w:rFonts w:ascii="Book Antiqua" w:hAnsi="Book Antiqua" w:cs="Times New Roman"/>
          <w:bCs/>
          <w:color w:val="1F3864" w:themeColor="accent1" w:themeShade="80"/>
          <w:sz w:val="24"/>
          <w:szCs w:val="24"/>
        </w:rPr>
        <w:t>C</w:t>
      </w:r>
      <w:r w:rsidR="00323617" w:rsidRPr="00842A16">
        <w:rPr>
          <w:rFonts w:ascii="Book Antiqua" w:hAnsi="Book Antiqua" w:cs="Times New Roman"/>
          <w:bCs/>
          <w:color w:val="1F3864" w:themeColor="accent1" w:themeShade="80"/>
          <w:sz w:val="24"/>
          <w:szCs w:val="24"/>
        </w:rPr>
        <w:t xml:space="preserve"> elaborates on the procedures for procurement while </w:t>
      </w:r>
      <w:r w:rsidR="00323617" w:rsidRPr="00C61487">
        <w:rPr>
          <w:rFonts w:ascii="Book Antiqua" w:hAnsi="Book Antiqua" w:cs="Times New Roman"/>
          <w:bCs/>
          <w:color w:val="1F3864" w:themeColor="accent1" w:themeShade="80"/>
          <w:sz w:val="24"/>
          <w:szCs w:val="24"/>
        </w:rPr>
        <w:t xml:space="preserve">Section </w:t>
      </w:r>
      <w:r w:rsidR="00B41C82">
        <w:rPr>
          <w:rFonts w:ascii="Book Antiqua" w:hAnsi="Book Antiqua" w:cs="Times New Roman"/>
          <w:bCs/>
          <w:color w:val="1F3864" w:themeColor="accent1" w:themeShade="80"/>
          <w:sz w:val="24"/>
          <w:szCs w:val="24"/>
        </w:rPr>
        <w:t>D</w:t>
      </w:r>
      <w:r w:rsidR="00323617" w:rsidRPr="00842A16">
        <w:rPr>
          <w:rFonts w:ascii="Book Antiqua" w:hAnsi="Book Antiqua" w:cs="Times New Roman"/>
          <w:bCs/>
          <w:color w:val="1F3864" w:themeColor="accent1" w:themeShade="80"/>
          <w:sz w:val="24"/>
          <w:szCs w:val="24"/>
        </w:rPr>
        <w:t xml:space="preserve"> discusses the processes for the disposal of public property. The manual largely leverages on the provisions of the law and </w:t>
      </w:r>
      <w:r w:rsidR="00116244" w:rsidRPr="00842A16">
        <w:rPr>
          <w:rFonts w:ascii="Book Antiqua" w:hAnsi="Book Antiqua" w:cs="Times New Roman"/>
          <w:bCs/>
          <w:color w:val="1F3864" w:themeColor="accent1" w:themeShade="80"/>
          <w:sz w:val="24"/>
          <w:szCs w:val="24"/>
        </w:rPr>
        <w:t xml:space="preserve">is essentially designed to educate on the public procurement systems in Edo State within the procurement cycle which spans through </w:t>
      </w:r>
      <w:r w:rsidR="000958ED" w:rsidRPr="00842A16">
        <w:rPr>
          <w:rFonts w:ascii="Book Antiqua" w:hAnsi="Book Antiqua" w:cs="Times New Roman"/>
          <w:bCs/>
          <w:color w:val="1F3864" w:themeColor="accent1" w:themeShade="80"/>
          <w:sz w:val="24"/>
          <w:szCs w:val="24"/>
        </w:rPr>
        <w:t>n</w:t>
      </w:r>
      <w:r w:rsidR="00116244" w:rsidRPr="00842A16">
        <w:rPr>
          <w:rFonts w:ascii="Book Antiqua" w:hAnsi="Book Antiqua" w:cs="Times New Roman"/>
          <w:bCs/>
          <w:color w:val="1F3864" w:themeColor="accent1" w:themeShade="80"/>
          <w:sz w:val="24"/>
          <w:szCs w:val="24"/>
        </w:rPr>
        <w:t xml:space="preserve">eed </w:t>
      </w:r>
      <w:r w:rsidR="000958ED" w:rsidRPr="00842A16">
        <w:rPr>
          <w:rFonts w:ascii="Book Antiqua" w:hAnsi="Book Antiqua" w:cs="Times New Roman"/>
          <w:bCs/>
          <w:color w:val="1F3864" w:themeColor="accent1" w:themeShade="80"/>
          <w:sz w:val="24"/>
          <w:szCs w:val="24"/>
        </w:rPr>
        <w:t>i</w:t>
      </w:r>
      <w:r w:rsidR="00116244" w:rsidRPr="00842A16">
        <w:rPr>
          <w:rFonts w:ascii="Book Antiqua" w:hAnsi="Book Antiqua" w:cs="Times New Roman"/>
          <w:bCs/>
          <w:color w:val="1F3864" w:themeColor="accent1" w:themeShade="80"/>
          <w:sz w:val="24"/>
          <w:szCs w:val="24"/>
        </w:rPr>
        <w:t>dentification</w:t>
      </w:r>
      <w:r w:rsidR="000958ED" w:rsidRPr="00842A16">
        <w:rPr>
          <w:rFonts w:ascii="Book Antiqua" w:hAnsi="Book Antiqua" w:cs="Times New Roman"/>
          <w:bCs/>
          <w:color w:val="1F3864" w:themeColor="accent1" w:themeShade="80"/>
          <w:sz w:val="24"/>
          <w:szCs w:val="24"/>
        </w:rPr>
        <w:t>, procurement planning, sourcing, evaluating, contracting, contract execution, and monitoring and Evaluation review.</w:t>
      </w:r>
      <w:r w:rsidR="00130659" w:rsidRPr="00842A16">
        <w:rPr>
          <w:rFonts w:ascii="Book Antiqua" w:hAnsi="Book Antiqua" w:cs="Times New Roman"/>
          <w:bCs/>
          <w:color w:val="1F3864" w:themeColor="accent1" w:themeShade="80"/>
          <w:sz w:val="24"/>
          <w:szCs w:val="24"/>
        </w:rPr>
        <w:t xml:space="preserve"> Its recommendation of sustainable disposal methods with primary consideration for the protection of the environment, as well as public health and safety is in line with good practices.</w:t>
      </w:r>
      <w:r w:rsidR="00234F2D" w:rsidRPr="00842A16">
        <w:rPr>
          <w:rFonts w:ascii="Book Antiqua" w:hAnsi="Book Antiqua" w:cs="Times New Roman"/>
          <w:bCs/>
          <w:color w:val="1F3864" w:themeColor="accent1" w:themeShade="80"/>
          <w:sz w:val="24"/>
          <w:szCs w:val="24"/>
        </w:rPr>
        <w:t xml:space="preserve"> It details the roles of differ</w:t>
      </w:r>
      <w:r w:rsidR="00A910A6" w:rsidRPr="00842A16">
        <w:rPr>
          <w:rFonts w:ascii="Book Antiqua" w:hAnsi="Book Antiqua" w:cs="Times New Roman"/>
          <w:bCs/>
          <w:color w:val="1F3864" w:themeColor="accent1" w:themeShade="80"/>
          <w:sz w:val="24"/>
          <w:szCs w:val="24"/>
        </w:rPr>
        <w:t>ent institutions and stakeholders, their key responsibilities during specific engagements within the procurement cycle</w:t>
      </w:r>
      <w:r w:rsidR="007E57D4" w:rsidRPr="00842A16">
        <w:rPr>
          <w:rFonts w:ascii="Book Antiqua" w:hAnsi="Book Antiqua" w:cs="Times New Roman"/>
          <w:bCs/>
          <w:color w:val="1F3864" w:themeColor="accent1" w:themeShade="80"/>
          <w:sz w:val="24"/>
          <w:szCs w:val="24"/>
        </w:rPr>
        <w:t>, especially that of the agency in providing support to procurement departments including the provision of procurement planning software and planning templates for standardized procurement procedures</w:t>
      </w:r>
      <w:r w:rsidR="00A910A6" w:rsidRPr="00842A16">
        <w:rPr>
          <w:rFonts w:ascii="Book Antiqua" w:hAnsi="Book Antiqua" w:cs="Times New Roman"/>
          <w:bCs/>
          <w:color w:val="1F3864" w:themeColor="accent1" w:themeShade="80"/>
          <w:sz w:val="24"/>
          <w:szCs w:val="24"/>
        </w:rPr>
        <w:t>.</w:t>
      </w:r>
      <w:r w:rsidR="000958ED" w:rsidRPr="00842A16">
        <w:rPr>
          <w:rFonts w:ascii="Book Antiqua" w:hAnsi="Book Antiqua" w:cs="Times New Roman"/>
          <w:bCs/>
          <w:color w:val="1F3864" w:themeColor="accent1" w:themeShade="80"/>
          <w:sz w:val="24"/>
          <w:szCs w:val="24"/>
        </w:rPr>
        <w:t xml:space="preserve"> It is thus a useful practical guide for procuring entities, bidders, academics, members of the public and all stakeholders interested in the work of the EDPPA.</w:t>
      </w:r>
    </w:p>
    <w:p w14:paraId="604FD18B" w14:textId="6427D13D" w:rsidR="003A508F" w:rsidRPr="00842A16" w:rsidRDefault="003A508F" w:rsidP="00985798">
      <w:pPr>
        <w:pStyle w:val="ListParagraph"/>
        <w:jc w:val="both"/>
        <w:rPr>
          <w:rFonts w:ascii="Book Antiqua" w:hAnsi="Book Antiqua" w:cs="Times New Roman"/>
          <w:b/>
          <w:bCs/>
          <w:color w:val="1F3864" w:themeColor="accent1" w:themeShade="80"/>
          <w:sz w:val="24"/>
          <w:szCs w:val="24"/>
        </w:rPr>
      </w:pPr>
    </w:p>
    <w:p w14:paraId="6692F231" w14:textId="3ACAD522" w:rsidR="00A910A6" w:rsidRPr="00842A16" w:rsidRDefault="00A910A6" w:rsidP="00A910A6">
      <w:pPr>
        <w:rPr>
          <w:rFonts w:ascii="Book Antiqua" w:hAnsi="Book Antiqua" w:cs="Times New Roman"/>
          <w:b/>
          <w:bCs/>
          <w:i/>
          <w:iCs/>
          <w:color w:val="1F3864" w:themeColor="accent1" w:themeShade="80"/>
          <w:sz w:val="24"/>
          <w:szCs w:val="24"/>
        </w:rPr>
      </w:pPr>
      <w:r w:rsidRPr="00842A16">
        <w:rPr>
          <w:rFonts w:ascii="Book Antiqua" w:hAnsi="Book Antiqua" w:cs="Times New Roman"/>
          <w:b/>
          <w:bCs/>
          <w:i/>
          <w:iCs/>
          <w:color w:val="1F3864" w:themeColor="accent1" w:themeShade="80"/>
          <w:sz w:val="24"/>
          <w:szCs w:val="24"/>
        </w:rPr>
        <w:t>Cons</w:t>
      </w:r>
    </w:p>
    <w:p w14:paraId="125F54D8" w14:textId="336B1CAE" w:rsidR="00A910A6" w:rsidRPr="00842A16" w:rsidRDefault="00A910A6" w:rsidP="00A910A6">
      <w:pPr>
        <w:pStyle w:val="ListParagraph"/>
        <w:numPr>
          <w:ilvl w:val="0"/>
          <w:numId w:val="5"/>
        </w:numPr>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The manual still makes references to the repealed Public Procurement Law, 2012. It is thus important to provide an updated version with proper legal backing of the Public Procurement Law, 2020</w:t>
      </w:r>
      <w:r w:rsidR="00520844" w:rsidRPr="00842A16">
        <w:rPr>
          <w:rFonts w:ascii="Book Antiqua" w:hAnsi="Book Antiqua" w:cs="Times New Roman"/>
          <w:color w:val="1F3864" w:themeColor="accent1" w:themeShade="80"/>
          <w:sz w:val="24"/>
          <w:szCs w:val="24"/>
        </w:rPr>
        <w:t>.</w:t>
      </w:r>
    </w:p>
    <w:p w14:paraId="14E51340" w14:textId="571ED0EB" w:rsidR="00D64324" w:rsidRPr="00842A16" w:rsidRDefault="00D64324" w:rsidP="00D64324">
      <w:pPr>
        <w:pStyle w:val="ListParagraph"/>
        <w:numPr>
          <w:ilvl w:val="0"/>
          <w:numId w:val="5"/>
        </w:numPr>
        <w:jc w:val="both"/>
        <w:rPr>
          <w:rFonts w:ascii="Book Antiqua" w:hAnsi="Book Antiqua" w:cs="Times New Roman"/>
          <w:b/>
          <w:bCs/>
          <w:color w:val="1F3864" w:themeColor="accent1" w:themeShade="80"/>
          <w:sz w:val="24"/>
          <w:szCs w:val="24"/>
        </w:rPr>
      </w:pPr>
      <w:r w:rsidRPr="00842A16">
        <w:rPr>
          <w:rFonts w:ascii="Book Antiqua" w:hAnsi="Book Antiqua" w:cs="Times New Roman"/>
          <w:bCs/>
          <w:color w:val="1F3864" w:themeColor="accent1" w:themeShade="80"/>
          <w:sz w:val="24"/>
          <w:szCs w:val="24"/>
        </w:rPr>
        <w:t>There is need to be consistent in the use of the stakeholders and their services with reference to the use of the words ‘goods, works and services’; and ‘suppliers, contractors and service providers’ as applicable</w:t>
      </w:r>
    </w:p>
    <w:p w14:paraId="54419C90" w14:textId="4A203533" w:rsidR="00B8759A" w:rsidRPr="00842A16" w:rsidRDefault="00B8759A" w:rsidP="00B8759A">
      <w:pPr>
        <w:pStyle w:val="ListParagraph"/>
        <w:numPr>
          <w:ilvl w:val="0"/>
          <w:numId w:val="5"/>
        </w:numPr>
        <w:jc w:val="both"/>
        <w:rPr>
          <w:rFonts w:ascii="Book Antiqua" w:hAnsi="Book Antiqua" w:cs="Times New Roman"/>
          <w:b/>
          <w:bCs/>
          <w:color w:val="1F3864" w:themeColor="accent1" w:themeShade="80"/>
          <w:sz w:val="24"/>
          <w:szCs w:val="24"/>
        </w:rPr>
      </w:pPr>
      <w:r w:rsidRPr="00842A16">
        <w:rPr>
          <w:rFonts w:ascii="Book Antiqua" w:hAnsi="Book Antiqua" w:cs="Times New Roman"/>
          <w:bCs/>
          <w:color w:val="1F3864" w:themeColor="accent1" w:themeShade="80"/>
          <w:sz w:val="24"/>
          <w:szCs w:val="24"/>
        </w:rPr>
        <w:t xml:space="preserve">Under the Glossary Section, the police should be included as part of the ‘Relevant Authority,’ alongside the </w:t>
      </w:r>
      <w:r w:rsidRPr="00842A16">
        <w:rPr>
          <w:rFonts w:ascii="Book Antiqua" w:hAnsi="Book Antiqua" w:cs="Times New Roman"/>
          <w:bCs/>
          <w:color w:val="1F3864" w:themeColor="accent1" w:themeShade="80"/>
          <w:sz w:val="24"/>
          <w:szCs w:val="24"/>
          <w:lang w:val="en-GB"/>
        </w:rPr>
        <w:t>includes Economic and Financial Crimes Commission and Independent Corrupt Practices Commission as provided for by the law</w:t>
      </w:r>
    </w:p>
    <w:p w14:paraId="50A5C117" w14:textId="6F3685A7" w:rsidR="009404E1" w:rsidRPr="00842A16" w:rsidRDefault="009404E1" w:rsidP="00B8759A">
      <w:pPr>
        <w:pStyle w:val="ListParagraph"/>
        <w:numPr>
          <w:ilvl w:val="0"/>
          <w:numId w:val="5"/>
        </w:numPr>
        <w:jc w:val="both"/>
        <w:rPr>
          <w:rFonts w:ascii="Book Antiqua" w:hAnsi="Book Antiqua" w:cs="Times New Roman"/>
          <w:b/>
          <w:bCs/>
          <w:color w:val="1F3864" w:themeColor="accent1" w:themeShade="80"/>
          <w:sz w:val="24"/>
          <w:szCs w:val="24"/>
        </w:rPr>
      </w:pPr>
      <w:r w:rsidRPr="00842A16">
        <w:rPr>
          <w:rFonts w:ascii="Book Antiqua" w:hAnsi="Book Antiqua" w:cs="Times New Roman"/>
          <w:bCs/>
          <w:color w:val="1F3864" w:themeColor="accent1" w:themeShade="80"/>
          <w:sz w:val="24"/>
          <w:szCs w:val="24"/>
          <w:lang w:val="en-GB"/>
        </w:rPr>
        <w:t>Include explanation for the terms ‘Turnkey Contracts’ and ‘Vote Codes’ in the glossary section</w:t>
      </w:r>
    </w:p>
    <w:p w14:paraId="19B24810" w14:textId="7DF7C755" w:rsidR="002F482F" w:rsidRPr="00842A16" w:rsidRDefault="002F482F" w:rsidP="00B8759A">
      <w:pPr>
        <w:pStyle w:val="ListParagraph"/>
        <w:numPr>
          <w:ilvl w:val="0"/>
          <w:numId w:val="5"/>
        </w:numPr>
        <w:jc w:val="both"/>
        <w:rPr>
          <w:rFonts w:ascii="Book Antiqua" w:hAnsi="Book Antiqua" w:cs="Times New Roman"/>
          <w:b/>
          <w:bCs/>
          <w:color w:val="1F3864" w:themeColor="accent1" w:themeShade="80"/>
          <w:sz w:val="24"/>
          <w:szCs w:val="24"/>
        </w:rPr>
      </w:pPr>
      <w:r w:rsidRPr="00842A16">
        <w:rPr>
          <w:rFonts w:ascii="Book Antiqua" w:hAnsi="Book Antiqua" w:cs="Times New Roman"/>
          <w:bCs/>
          <w:color w:val="1F3864" w:themeColor="accent1" w:themeShade="80"/>
          <w:sz w:val="24"/>
          <w:szCs w:val="24"/>
          <w:lang w:val="en-GB"/>
        </w:rPr>
        <w:t xml:space="preserve">Provision of a Timeframe for the pre-bid conference in </w:t>
      </w:r>
      <w:r w:rsidR="007364DF" w:rsidRPr="00842A16">
        <w:rPr>
          <w:rFonts w:ascii="Book Antiqua" w:hAnsi="Book Antiqua" w:cs="Times New Roman"/>
          <w:bCs/>
          <w:color w:val="1F3864" w:themeColor="accent1" w:themeShade="80"/>
          <w:sz w:val="24"/>
          <w:szCs w:val="24"/>
          <w:lang w:val="en-GB"/>
        </w:rPr>
        <w:t xml:space="preserve">Section </w:t>
      </w:r>
      <w:r w:rsidRPr="00842A16">
        <w:rPr>
          <w:rFonts w:ascii="Book Antiqua" w:hAnsi="Book Antiqua" w:cs="Times New Roman"/>
          <w:b/>
          <w:color w:val="1F3864" w:themeColor="accent1" w:themeShade="80"/>
          <w:sz w:val="24"/>
          <w:szCs w:val="24"/>
          <w:lang w:val="en-GB"/>
        </w:rPr>
        <w:t>7.3.18 (ii)</w:t>
      </w:r>
      <w:r w:rsidR="007364DF" w:rsidRPr="00842A16">
        <w:rPr>
          <w:rFonts w:ascii="Book Antiqua" w:hAnsi="Book Antiqua" w:cs="Times New Roman"/>
          <w:b/>
          <w:color w:val="1F3864" w:themeColor="accent1" w:themeShade="80"/>
          <w:sz w:val="24"/>
          <w:szCs w:val="24"/>
          <w:lang w:val="en-GB"/>
        </w:rPr>
        <w:t xml:space="preserve"> </w:t>
      </w:r>
      <w:r w:rsidR="007364DF" w:rsidRPr="00842A16">
        <w:rPr>
          <w:rFonts w:ascii="Book Antiqua" w:hAnsi="Book Antiqua" w:cs="Times New Roman"/>
          <w:bCs/>
          <w:color w:val="1F3864" w:themeColor="accent1" w:themeShade="80"/>
          <w:sz w:val="24"/>
          <w:szCs w:val="24"/>
          <w:lang w:val="en-GB"/>
        </w:rPr>
        <w:t>and the modification of the requests for proposals in Section</w:t>
      </w:r>
      <w:r w:rsidR="000833DF" w:rsidRPr="00842A16">
        <w:rPr>
          <w:rFonts w:ascii="Book Antiqua" w:hAnsi="Book Antiqua" w:cs="Times New Roman"/>
          <w:bCs/>
          <w:color w:val="1F3864" w:themeColor="accent1" w:themeShade="80"/>
          <w:sz w:val="24"/>
          <w:szCs w:val="24"/>
          <w:lang w:val="en-GB"/>
        </w:rPr>
        <w:t>s</w:t>
      </w:r>
      <w:r w:rsidR="007364DF" w:rsidRPr="00842A16">
        <w:rPr>
          <w:rFonts w:ascii="Book Antiqua" w:hAnsi="Book Antiqua" w:cs="Times New Roman"/>
          <w:bCs/>
          <w:color w:val="1F3864" w:themeColor="accent1" w:themeShade="80"/>
          <w:sz w:val="24"/>
          <w:szCs w:val="24"/>
          <w:lang w:val="en-GB"/>
        </w:rPr>
        <w:t xml:space="preserve"> </w:t>
      </w:r>
      <w:r w:rsidR="007364DF" w:rsidRPr="00842A16">
        <w:rPr>
          <w:rFonts w:ascii="Book Antiqua" w:hAnsi="Book Antiqua" w:cs="Times New Roman"/>
          <w:b/>
          <w:color w:val="1F3864" w:themeColor="accent1" w:themeShade="80"/>
          <w:sz w:val="24"/>
          <w:szCs w:val="24"/>
          <w:lang w:val="en-GB"/>
        </w:rPr>
        <w:t>8.4.8</w:t>
      </w:r>
      <w:r w:rsidR="000833DF" w:rsidRPr="00842A16">
        <w:rPr>
          <w:rFonts w:ascii="Book Antiqua" w:hAnsi="Book Antiqua" w:cs="Times New Roman"/>
          <w:b/>
          <w:color w:val="1F3864" w:themeColor="accent1" w:themeShade="80"/>
          <w:sz w:val="24"/>
          <w:szCs w:val="24"/>
          <w:lang w:val="en-GB"/>
        </w:rPr>
        <w:t>;</w:t>
      </w:r>
      <w:r w:rsidR="007364DF" w:rsidRPr="00842A16">
        <w:rPr>
          <w:rFonts w:ascii="Book Antiqua" w:hAnsi="Book Antiqua" w:cs="Times New Roman"/>
          <w:b/>
          <w:color w:val="1F3864" w:themeColor="accent1" w:themeShade="80"/>
          <w:sz w:val="24"/>
          <w:szCs w:val="24"/>
          <w:lang w:val="en-GB"/>
        </w:rPr>
        <w:t xml:space="preserve"> 8.4.9</w:t>
      </w:r>
      <w:r w:rsidR="000833DF" w:rsidRPr="00842A16">
        <w:rPr>
          <w:rFonts w:ascii="Book Antiqua" w:hAnsi="Book Antiqua" w:cs="Times New Roman"/>
          <w:b/>
          <w:color w:val="1F3864" w:themeColor="accent1" w:themeShade="80"/>
          <w:sz w:val="24"/>
          <w:szCs w:val="24"/>
          <w:lang w:val="en-GB"/>
        </w:rPr>
        <w:t>; 10.3.4</w:t>
      </w:r>
      <w:r w:rsidR="00130659" w:rsidRPr="00842A16">
        <w:rPr>
          <w:rFonts w:ascii="Book Antiqua" w:hAnsi="Book Antiqua" w:cs="Times New Roman"/>
          <w:b/>
          <w:color w:val="1F3864" w:themeColor="accent1" w:themeShade="80"/>
          <w:sz w:val="24"/>
          <w:szCs w:val="24"/>
          <w:lang w:val="en-GB"/>
        </w:rPr>
        <w:t>(</w:t>
      </w:r>
      <w:proofErr w:type="spellStart"/>
      <w:r w:rsidR="00130659" w:rsidRPr="00842A16">
        <w:rPr>
          <w:rFonts w:ascii="Book Antiqua" w:hAnsi="Book Antiqua" w:cs="Times New Roman"/>
          <w:b/>
          <w:color w:val="1F3864" w:themeColor="accent1" w:themeShade="80"/>
          <w:sz w:val="24"/>
          <w:szCs w:val="24"/>
          <w:lang w:val="en-GB"/>
        </w:rPr>
        <w:t>j&amp;m</w:t>
      </w:r>
      <w:proofErr w:type="spellEnd"/>
      <w:r w:rsidR="00130659" w:rsidRPr="00842A16">
        <w:rPr>
          <w:rFonts w:ascii="Book Antiqua" w:hAnsi="Book Antiqua" w:cs="Times New Roman"/>
          <w:b/>
          <w:color w:val="1F3864" w:themeColor="accent1" w:themeShade="80"/>
          <w:sz w:val="24"/>
          <w:szCs w:val="24"/>
          <w:lang w:val="en-GB"/>
        </w:rPr>
        <w:t>)</w:t>
      </w:r>
    </w:p>
    <w:p w14:paraId="037D1DC6" w14:textId="77777777" w:rsidR="00D64324" w:rsidRPr="00842A16" w:rsidRDefault="00D64324" w:rsidP="00D64324">
      <w:pPr>
        <w:pStyle w:val="ListParagraph"/>
        <w:numPr>
          <w:ilvl w:val="0"/>
          <w:numId w:val="5"/>
        </w:numPr>
        <w:jc w:val="both"/>
        <w:rPr>
          <w:rFonts w:ascii="Book Antiqua" w:hAnsi="Book Antiqua" w:cs="Times New Roman"/>
          <w:bCs/>
          <w:color w:val="1F3864" w:themeColor="accent1" w:themeShade="80"/>
          <w:sz w:val="24"/>
          <w:szCs w:val="24"/>
        </w:rPr>
      </w:pPr>
      <w:r w:rsidRPr="00842A16">
        <w:rPr>
          <w:rFonts w:ascii="Book Antiqua" w:hAnsi="Book Antiqua" w:cs="Times New Roman"/>
          <w:bCs/>
          <w:color w:val="1F3864" w:themeColor="accent1" w:themeShade="80"/>
          <w:sz w:val="24"/>
          <w:szCs w:val="24"/>
        </w:rPr>
        <w:t>There is need for consistency in the use of initial capitalization for key words all through the document to enhance readability and clarity of meaning and intention</w:t>
      </w:r>
    </w:p>
    <w:p w14:paraId="0CA87D51" w14:textId="63C479AF" w:rsidR="00D64324" w:rsidRPr="00842A16" w:rsidRDefault="00D64324" w:rsidP="00D64324">
      <w:pPr>
        <w:pStyle w:val="ListParagraph"/>
        <w:numPr>
          <w:ilvl w:val="0"/>
          <w:numId w:val="5"/>
        </w:numPr>
        <w:jc w:val="both"/>
        <w:rPr>
          <w:rFonts w:ascii="Book Antiqua" w:hAnsi="Book Antiqua" w:cs="Times New Roman"/>
          <w:bCs/>
          <w:color w:val="1F3864" w:themeColor="accent1" w:themeShade="80"/>
          <w:sz w:val="24"/>
          <w:szCs w:val="24"/>
        </w:rPr>
      </w:pPr>
      <w:bookmarkStart w:id="6" w:name="_Hlk113878876"/>
      <w:r w:rsidRPr="00842A16">
        <w:rPr>
          <w:rFonts w:ascii="Book Antiqua" w:hAnsi="Book Antiqua" w:cs="Times New Roman"/>
          <w:bCs/>
          <w:color w:val="1F3864" w:themeColor="accent1" w:themeShade="80"/>
          <w:sz w:val="24"/>
          <w:szCs w:val="24"/>
        </w:rPr>
        <w:t>There is need for copy-editing to enhance readability</w:t>
      </w:r>
    </w:p>
    <w:bookmarkEnd w:id="6"/>
    <w:p w14:paraId="5F669CAE" w14:textId="751415C3" w:rsidR="00D64324" w:rsidRPr="00842A16" w:rsidRDefault="00D64324" w:rsidP="00D64324">
      <w:pPr>
        <w:pStyle w:val="ListParagraph"/>
        <w:numPr>
          <w:ilvl w:val="0"/>
          <w:numId w:val="5"/>
        </w:numPr>
        <w:jc w:val="both"/>
        <w:rPr>
          <w:rFonts w:ascii="Book Antiqua" w:hAnsi="Book Antiqua" w:cs="Times New Roman"/>
          <w:bCs/>
          <w:color w:val="1F3864" w:themeColor="accent1" w:themeShade="80"/>
          <w:sz w:val="24"/>
          <w:szCs w:val="24"/>
        </w:rPr>
      </w:pPr>
      <w:r w:rsidRPr="00842A16">
        <w:rPr>
          <w:rFonts w:ascii="Book Antiqua" w:hAnsi="Book Antiqua" w:cs="Times New Roman"/>
          <w:bCs/>
          <w:color w:val="1F3864" w:themeColor="accent1" w:themeShade="80"/>
          <w:sz w:val="24"/>
          <w:szCs w:val="24"/>
        </w:rPr>
        <w:t>Terms should be replaced with acronyms after the first usage to enhance readability</w:t>
      </w:r>
    </w:p>
    <w:p w14:paraId="5AC33784" w14:textId="77777777" w:rsidR="00D64324" w:rsidRPr="00842A16" w:rsidRDefault="00D64324" w:rsidP="00D64324">
      <w:pPr>
        <w:pStyle w:val="ListParagraph"/>
        <w:jc w:val="both"/>
        <w:rPr>
          <w:rFonts w:ascii="Book Antiqua" w:hAnsi="Book Antiqua" w:cs="Times New Roman"/>
          <w:bCs/>
          <w:color w:val="1F3864" w:themeColor="accent1" w:themeShade="80"/>
          <w:sz w:val="24"/>
          <w:szCs w:val="24"/>
        </w:rPr>
      </w:pPr>
    </w:p>
    <w:p w14:paraId="160978A8" w14:textId="77777777" w:rsidR="00D64324" w:rsidRPr="00842A16" w:rsidRDefault="00D64324" w:rsidP="00D64324">
      <w:pPr>
        <w:pStyle w:val="ListParagraph"/>
        <w:jc w:val="both"/>
        <w:rPr>
          <w:rFonts w:ascii="Book Antiqua" w:hAnsi="Book Antiqua" w:cs="Times New Roman"/>
          <w:bCs/>
          <w:color w:val="1F3864" w:themeColor="accent1" w:themeShade="80"/>
          <w:sz w:val="24"/>
          <w:szCs w:val="24"/>
        </w:rPr>
      </w:pPr>
    </w:p>
    <w:p w14:paraId="6AA85F35" w14:textId="748D0353" w:rsidR="00D64324" w:rsidRPr="00842A16" w:rsidRDefault="007E57D4" w:rsidP="007E57D4">
      <w:pPr>
        <w:jc w:val="both"/>
        <w:rPr>
          <w:rFonts w:ascii="Book Antiqua" w:hAnsi="Book Antiqua" w:cs="Times New Roman"/>
          <w:b/>
          <w:color w:val="1F3864" w:themeColor="accent1" w:themeShade="80"/>
          <w:sz w:val="24"/>
          <w:szCs w:val="24"/>
        </w:rPr>
      </w:pPr>
      <w:bookmarkStart w:id="7" w:name="_Hlk113891139"/>
      <w:r w:rsidRPr="00842A16">
        <w:rPr>
          <w:rFonts w:ascii="Book Antiqua" w:hAnsi="Book Antiqua" w:cs="Times New Roman"/>
          <w:b/>
          <w:color w:val="1F3864" w:themeColor="accent1" w:themeShade="80"/>
          <w:sz w:val="24"/>
          <w:szCs w:val="24"/>
        </w:rPr>
        <w:t>Standard Bidding Documents</w:t>
      </w:r>
      <w:r w:rsidR="00497941" w:rsidRPr="00842A16">
        <w:rPr>
          <w:rFonts w:ascii="Book Antiqua" w:hAnsi="Book Antiqua" w:cs="Times New Roman"/>
          <w:b/>
          <w:color w:val="1F3864" w:themeColor="accent1" w:themeShade="80"/>
          <w:sz w:val="24"/>
          <w:szCs w:val="24"/>
        </w:rPr>
        <w:t xml:space="preserve"> Procurement of Goods and Civil Works / Standard Request for Proposals</w:t>
      </w:r>
    </w:p>
    <w:bookmarkEnd w:id="7"/>
    <w:p w14:paraId="7696EF0F" w14:textId="60B98E5A" w:rsidR="00D64324" w:rsidRPr="00842A16" w:rsidRDefault="00F7180D" w:rsidP="00116BB3">
      <w:pPr>
        <w:jc w:val="both"/>
        <w:rPr>
          <w:rFonts w:ascii="Book Antiqua" w:hAnsi="Book Antiqua" w:cs="Times New Roman"/>
          <w:b/>
          <w:i/>
          <w:iCs/>
          <w:color w:val="1F3864" w:themeColor="accent1" w:themeShade="80"/>
          <w:sz w:val="24"/>
          <w:szCs w:val="24"/>
        </w:rPr>
      </w:pPr>
      <w:r w:rsidRPr="00842A16">
        <w:rPr>
          <w:rFonts w:ascii="Book Antiqua" w:hAnsi="Book Antiqua" w:cs="Times New Roman"/>
          <w:b/>
          <w:i/>
          <w:iCs/>
          <w:color w:val="1F3864" w:themeColor="accent1" w:themeShade="80"/>
          <w:sz w:val="24"/>
          <w:szCs w:val="24"/>
        </w:rPr>
        <w:t>Pros</w:t>
      </w:r>
    </w:p>
    <w:p w14:paraId="4996F0A8" w14:textId="5483F14C" w:rsidR="00F7180D" w:rsidRPr="00842A16" w:rsidRDefault="00F7180D" w:rsidP="00116BB3">
      <w:pPr>
        <w:jc w:val="both"/>
        <w:rPr>
          <w:rFonts w:ascii="Book Antiqua" w:hAnsi="Book Antiqua" w:cs="Times New Roman"/>
          <w:bCs/>
          <w:color w:val="1F3864" w:themeColor="accent1" w:themeShade="80"/>
          <w:sz w:val="24"/>
          <w:szCs w:val="24"/>
        </w:rPr>
      </w:pPr>
      <w:r w:rsidRPr="00842A16">
        <w:rPr>
          <w:rFonts w:ascii="Book Antiqua" w:hAnsi="Book Antiqua" w:cs="Times New Roman"/>
          <w:bCs/>
          <w:color w:val="1F3864" w:themeColor="accent1" w:themeShade="80"/>
          <w:sz w:val="24"/>
          <w:szCs w:val="24"/>
        </w:rPr>
        <w:t>The</w:t>
      </w:r>
      <w:r w:rsidR="008A0FA7" w:rsidRPr="00842A16">
        <w:rPr>
          <w:rFonts w:ascii="Book Antiqua" w:hAnsi="Book Antiqua" w:cs="Times New Roman"/>
          <w:bCs/>
          <w:color w:val="1F3864" w:themeColor="accent1" w:themeShade="80"/>
          <w:sz w:val="24"/>
          <w:szCs w:val="24"/>
        </w:rPr>
        <w:t>se documents provide the templates for the procurement of goods, works and services in Edo state and have been designed to be adaptable to the different selection methods provided for under the law. The monetary threshold is also reflected to stipulate mandatory usage for contracts on services within the range of N100m and above, and advisable for those within the range of N50m and below. The provisions of the documents also</w:t>
      </w:r>
      <w:r w:rsidR="00CA0437" w:rsidRPr="00842A16">
        <w:rPr>
          <w:rFonts w:ascii="Book Antiqua" w:hAnsi="Book Antiqua" w:cs="Times New Roman"/>
          <w:bCs/>
          <w:color w:val="1F3864" w:themeColor="accent1" w:themeShade="80"/>
          <w:sz w:val="24"/>
          <w:szCs w:val="24"/>
        </w:rPr>
        <w:t xml:space="preserve"> align with requirements under the </w:t>
      </w:r>
      <w:r w:rsidR="00CA0437" w:rsidRPr="00842A16">
        <w:rPr>
          <w:rFonts w:ascii="Book Antiqua" w:hAnsi="Book Antiqua" w:cs="Times New Roman"/>
          <w:color w:val="1F3864" w:themeColor="accent1" w:themeShade="80"/>
          <w:sz w:val="24"/>
          <w:szCs w:val="24"/>
        </w:rPr>
        <w:t>Public Procurement Law and the Procurement Procedures Manual, while producing guidelines for modification of the documents where applicable</w:t>
      </w:r>
      <w:r w:rsidR="00A70F82" w:rsidRPr="00842A16">
        <w:rPr>
          <w:rFonts w:ascii="Book Antiqua" w:hAnsi="Book Antiqua" w:cs="Times New Roman"/>
          <w:color w:val="1F3864" w:themeColor="accent1" w:themeShade="80"/>
          <w:sz w:val="24"/>
          <w:szCs w:val="24"/>
        </w:rPr>
        <w:t xml:space="preserve"> They also contain a feedback mechanism for seeking clarifications from the agency. </w:t>
      </w:r>
      <w:r w:rsidR="00681B2D" w:rsidRPr="00842A16">
        <w:rPr>
          <w:rFonts w:ascii="Book Antiqua" w:hAnsi="Book Antiqua" w:cs="Times New Roman"/>
          <w:color w:val="1F3864" w:themeColor="accent1" w:themeShade="80"/>
          <w:sz w:val="24"/>
          <w:szCs w:val="24"/>
        </w:rPr>
        <w:t>The</w:t>
      </w:r>
      <w:r w:rsidR="00A70F82" w:rsidRPr="00842A16">
        <w:rPr>
          <w:rFonts w:ascii="Book Antiqua" w:hAnsi="Book Antiqua" w:cs="Times New Roman"/>
          <w:color w:val="1F3864" w:themeColor="accent1" w:themeShade="80"/>
          <w:sz w:val="24"/>
          <w:szCs w:val="24"/>
        </w:rPr>
        <w:t xml:space="preserve"> documents were modeled to reflect </w:t>
      </w:r>
      <w:r w:rsidR="00681B2D" w:rsidRPr="00842A16">
        <w:rPr>
          <w:rFonts w:ascii="Book Antiqua" w:hAnsi="Book Antiqua" w:cs="Times New Roman"/>
          <w:color w:val="1F3864" w:themeColor="accent1" w:themeShade="80"/>
          <w:sz w:val="24"/>
          <w:szCs w:val="24"/>
        </w:rPr>
        <w:t xml:space="preserve">internationally recognized </w:t>
      </w:r>
      <w:r w:rsidR="00A70F82" w:rsidRPr="00842A16">
        <w:rPr>
          <w:rFonts w:ascii="Book Antiqua" w:hAnsi="Book Antiqua" w:cs="Times New Roman"/>
          <w:color w:val="1F3864" w:themeColor="accent1" w:themeShade="80"/>
          <w:sz w:val="24"/>
          <w:szCs w:val="24"/>
        </w:rPr>
        <w:t>good practices as recommended by the World Bank.</w:t>
      </w:r>
    </w:p>
    <w:p w14:paraId="7BDA905B" w14:textId="0AE0FC08" w:rsidR="00F7180D" w:rsidRPr="00842A16" w:rsidRDefault="00F7180D" w:rsidP="00116BB3">
      <w:pPr>
        <w:jc w:val="both"/>
        <w:rPr>
          <w:rFonts w:ascii="Book Antiqua" w:hAnsi="Book Antiqua" w:cs="Times New Roman"/>
          <w:bCs/>
          <w:color w:val="1F3864" w:themeColor="accent1" w:themeShade="80"/>
          <w:sz w:val="24"/>
          <w:szCs w:val="24"/>
        </w:rPr>
      </w:pPr>
    </w:p>
    <w:p w14:paraId="70B7FBC8" w14:textId="1154BE5D" w:rsidR="00F7180D" w:rsidRPr="00842A16" w:rsidRDefault="00F7180D" w:rsidP="00116BB3">
      <w:pPr>
        <w:jc w:val="both"/>
        <w:rPr>
          <w:rFonts w:ascii="Book Antiqua" w:hAnsi="Book Antiqua" w:cs="Times New Roman"/>
          <w:b/>
          <w:i/>
          <w:iCs/>
          <w:color w:val="1F3864" w:themeColor="accent1" w:themeShade="80"/>
          <w:sz w:val="24"/>
          <w:szCs w:val="24"/>
        </w:rPr>
      </w:pPr>
      <w:r w:rsidRPr="00842A16">
        <w:rPr>
          <w:rFonts w:ascii="Book Antiqua" w:hAnsi="Book Antiqua" w:cs="Times New Roman"/>
          <w:b/>
          <w:i/>
          <w:iCs/>
          <w:color w:val="1F3864" w:themeColor="accent1" w:themeShade="80"/>
          <w:sz w:val="24"/>
          <w:szCs w:val="24"/>
        </w:rPr>
        <w:t>Cons</w:t>
      </w:r>
    </w:p>
    <w:p w14:paraId="055781FC" w14:textId="20AA6200" w:rsidR="00F7180D" w:rsidRPr="00842A16" w:rsidRDefault="00F7180D" w:rsidP="00F7180D">
      <w:pPr>
        <w:numPr>
          <w:ilvl w:val="0"/>
          <w:numId w:val="6"/>
        </w:numPr>
        <w:jc w:val="both"/>
        <w:rPr>
          <w:rFonts w:ascii="Book Antiqua" w:hAnsi="Book Antiqua" w:cs="Times New Roman"/>
          <w:bCs/>
          <w:color w:val="1F3864" w:themeColor="accent1" w:themeShade="80"/>
          <w:sz w:val="24"/>
          <w:szCs w:val="24"/>
        </w:rPr>
      </w:pPr>
      <w:r w:rsidRPr="00842A16">
        <w:rPr>
          <w:rFonts w:ascii="Book Antiqua" w:hAnsi="Book Antiqua" w:cs="Times New Roman"/>
          <w:bCs/>
          <w:color w:val="1F3864" w:themeColor="accent1" w:themeShade="80"/>
          <w:sz w:val="24"/>
          <w:szCs w:val="24"/>
        </w:rPr>
        <w:t xml:space="preserve">There is need to update the cited provisions of the Law with those of the Public Procurement (Repeal </w:t>
      </w:r>
      <w:r w:rsidR="00C61487">
        <w:rPr>
          <w:rFonts w:ascii="Book Antiqua" w:hAnsi="Book Antiqua" w:cs="Times New Roman"/>
          <w:bCs/>
          <w:color w:val="1F3864" w:themeColor="accent1" w:themeShade="80"/>
          <w:sz w:val="24"/>
          <w:szCs w:val="24"/>
        </w:rPr>
        <w:t>a</w:t>
      </w:r>
      <w:r w:rsidRPr="00842A16">
        <w:rPr>
          <w:rFonts w:ascii="Book Antiqua" w:hAnsi="Book Antiqua" w:cs="Times New Roman"/>
          <w:bCs/>
          <w:color w:val="1F3864" w:themeColor="accent1" w:themeShade="80"/>
          <w:sz w:val="24"/>
          <w:szCs w:val="24"/>
        </w:rPr>
        <w:t>nd Re-Enactment) Law 2020 for Standard Bidding Documents: Procurement of Civil Works and the Standard Request for Proposal</w:t>
      </w:r>
    </w:p>
    <w:p w14:paraId="09226675" w14:textId="15B286F5" w:rsidR="00F7180D" w:rsidRPr="00842A16" w:rsidRDefault="00F7180D" w:rsidP="00F7180D">
      <w:pPr>
        <w:numPr>
          <w:ilvl w:val="0"/>
          <w:numId w:val="6"/>
        </w:numPr>
        <w:jc w:val="both"/>
        <w:rPr>
          <w:rFonts w:ascii="Book Antiqua" w:hAnsi="Book Antiqua" w:cs="Times New Roman"/>
          <w:bCs/>
          <w:color w:val="1F3864" w:themeColor="accent1" w:themeShade="80"/>
          <w:sz w:val="24"/>
          <w:szCs w:val="24"/>
        </w:rPr>
      </w:pPr>
      <w:r w:rsidRPr="00842A16">
        <w:rPr>
          <w:rFonts w:ascii="Book Antiqua" w:hAnsi="Book Antiqua" w:cs="Times New Roman"/>
          <w:bCs/>
          <w:color w:val="1F3864" w:themeColor="accent1" w:themeShade="80"/>
          <w:sz w:val="24"/>
          <w:szCs w:val="24"/>
        </w:rPr>
        <w:t>Check the use of the term ‘Bidding Documents / Bidding Document’ for consistency</w:t>
      </w:r>
      <w:r w:rsidR="000B1FE0">
        <w:rPr>
          <w:rFonts w:ascii="Book Antiqua" w:hAnsi="Book Antiqua" w:cs="Times New Roman"/>
          <w:bCs/>
          <w:color w:val="1F3864" w:themeColor="accent1" w:themeShade="80"/>
          <w:sz w:val="24"/>
          <w:szCs w:val="24"/>
        </w:rPr>
        <w:t>.</w:t>
      </w:r>
      <w:r w:rsidRPr="00842A16">
        <w:rPr>
          <w:rFonts w:ascii="Book Antiqua" w:hAnsi="Book Antiqua" w:cs="Times New Roman"/>
          <w:bCs/>
          <w:color w:val="1F3864" w:themeColor="accent1" w:themeShade="80"/>
          <w:sz w:val="24"/>
          <w:szCs w:val="24"/>
        </w:rPr>
        <w:t xml:space="preserve"> </w:t>
      </w:r>
      <w:r w:rsidR="00F53D1A" w:rsidRPr="00842A16">
        <w:rPr>
          <w:rFonts w:ascii="Book Antiqua" w:hAnsi="Book Antiqua" w:cs="Times New Roman"/>
          <w:bCs/>
          <w:color w:val="1F3864" w:themeColor="accent1" w:themeShade="80"/>
          <w:sz w:val="24"/>
          <w:szCs w:val="24"/>
        </w:rPr>
        <w:t xml:space="preserve">The stipulation that both could be used interchangeably as contained in </w:t>
      </w:r>
      <w:r w:rsidRPr="00842A16">
        <w:rPr>
          <w:rFonts w:ascii="Book Antiqua" w:hAnsi="Book Antiqua" w:cs="Times New Roman"/>
          <w:bCs/>
          <w:color w:val="1F3864" w:themeColor="accent1" w:themeShade="80"/>
          <w:sz w:val="24"/>
          <w:szCs w:val="24"/>
        </w:rPr>
        <w:t>Section I – 1.2 (b)</w:t>
      </w:r>
      <w:r w:rsidR="00F53D1A" w:rsidRPr="00842A16">
        <w:rPr>
          <w:rFonts w:ascii="Book Antiqua" w:hAnsi="Book Antiqua" w:cs="Times New Roman"/>
          <w:bCs/>
          <w:color w:val="1F3864" w:themeColor="accent1" w:themeShade="80"/>
          <w:sz w:val="24"/>
          <w:szCs w:val="24"/>
        </w:rPr>
        <w:t xml:space="preserve"> of the documents</w:t>
      </w:r>
      <w:r w:rsidRPr="00842A16">
        <w:rPr>
          <w:rFonts w:ascii="Book Antiqua" w:hAnsi="Book Antiqua" w:cs="Times New Roman"/>
          <w:bCs/>
          <w:color w:val="1F3864" w:themeColor="accent1" w:themeShade="80"/>
          <w:sz w:val="24"/>
          <w:szCs w:val="24"/>
        </w:rPr>
        <w:t xml:space="preserve"> could allow for multiple interpretations, with the risk of deviating from the intention behind specific provisions</w:t>
      </w:r>
      <w:r w:rsidR="00F53D1A" w:rsidRPr="00842A16">
        <w:rPr>
          <w:rFonts w:ascii="Book Antiqua" w:hAnsi="Book Antiqua" w:cs="Times New Roman"/>
          <w:bCs/>
          <w:color w:val="1F3864" w:themeColor="accent1" w:themeShade="80"/>
          <w:sz w:val="24"/>
          <w:szCs w:val="24"/>
        </w:rPr>
        <w:t>.</w:t>
      </w:r>
    </w:p>
    <w:p w14:paraId="31A712AF" w14:textId="565A77D4" w:rsidR="00F53D1A" w:rsidRPr="00842A16" w:rsidRDefault="00F53D1A" w:rsidP="00F53D1A">
      <w:pPr>
        <w:pStyle w:val="ListParagraph"/>
        <w:numPr>
          <w:ilvl w:val="0"/>
          <w:numId w:val="5"/>
        </w:numPr>
        <w:jc w:val="both"/>
        <w:rPr>
          <w:rFonts w:ascii="Book Antiqua" w:hAnsi="Book Antiqua" w:cs="Times New Roman"/>
          <w:bCs/>
          <w:color w:val="1F3864" w:themeColor="accent1" w:themeShade="80"/>
          <w:sz w:val="24"/>
          <w:szCs w:val="24"/>
        </w:rPr>
      </w:pPr>
      <w:r w:rsidRPr="00842A16">
        <w:rPr>
          <w:rFonts w:ascii="Book Antiqua" w:hAnsi="Book Antiqua" w:cs="Times New Roman"/>
          <w:bCs/>
          <w:color w:val="1F3864" w:themeColor="accent1" w:themeShade="80"/>
          <w:sz w:val="24"/>
          <w:szCs w:val="24"/>
        </w:rPr>
        <w:t>There is need for consistency in the use of initial capitalization for key words all through the documents to enhance readability and clarity of meaning and intention</w:t>
      </w:r>
    </w:p>
    <w:p w14:paraId="7A54B13E" w14:textId="77777777" w:rsidR="00F53D1A" w:rsidRPr="00842A16" w:rsidRDefault="00F53D1A" w:rsidP="00F53D1A">
      <w:pPr>
        <w:pStyle w:val="ListParagraph"/>
        <w:numPr>
          <w:ilvl w:val="0"/>
          <w:numId w:val="5"/>
        </w:numPr>
        <w:jc w:val="both"/>
        <w:rPr>
          <w:rFonts w:ascii="Book Antiqua" w:hAnsi="Book Antiqua" w:cs="Times New Roman"/>
          <w:bCs/>
          <w:color w:val="1F3864" w:themeColor="accent1" w:themeShade="80"/>
          <w:sz w:val="24"/>
          <w:szCs w:val="24"/>
        </w:rPr>
      </w:pPr>
      <w:r w:rsidRPr="00842A16">
        <w:rPr>
          <w:rFonts w:ascii="Book Antiqua" w:hAnsi="Book Antiqua" w:cs="Times New Roman"/>
          <w:bCs/>
          <w:color w:val="1F3864" w:themeColor="accent1" w:themeShade="80"/>
          <w:sz w:val="24"/>
          <w:szCs w:val="24"/>
        </w:rPr>
        <w:t>There is need for copy-editing to enhance readability</w:t>
      </w:r>
    </w:p>
    <w:p w14:paraId="1FF4B4B1" w14:textId="2F7E5CE4" w:rsidR="00F7180D" w:rsidRPr="00842A16" w:rsidRDefault="00F53D1A" w:rsidP="00F7180D">
      <w:pPr>
        <w:numPr>
          <w:ilvl w:val="0"/>
          <w:numId w:val="6"/>
        </w:numPr>
        <w:jc w:val="both"/>
        <w:rPr>
          <w:rFonts w:ascii="Book Antiqua" w:hAnsi="Book Antiqua" w:cs="Times New Roman"/>
          <w:bCs/>
          <w:color w:val="1F3864" w:themeColor="accent1" w:themeShade="80"/>
          <w:sz w:val="24"/>
          <w:szCs w:val="24"/>
        </w:rPr>
      </w:pPr>
      <w:r w:rsidRPr="00842A16">
        <w:rPr>
          <w:rFonts w:ascii="Book Antiqua" w:hAnsi="Book Antiqua" w:cs="Times New Roman"/>
          <w:bCs/>
          <w:color w:val="1F3864" w:themeColor="accent1" w:themeShade="80"/>
          <w:sz w:val="24"/>
          <w:szCs w:val="24"/>
        </w:rPr>
        <w:t xml:space="preserve">While the documents were intended to be gender neutral, there is need to be gender responsive where references are made to the male gender as in the section on </w:t>
      </w:r>
      <w:r w:rsidR="00F7180D" w:rsidRPr="00842A16">
        <w:rPr>
          <w:rFonts w:ascii="Book Antiqua" w:hAnsi="Book Antiqua" w:cs="Times New Roman"/>
          <w:bCs/>
          <w:color w:val="1F3864" w:themeColor="accent1" w:themeShade="80"/>
          <w:sz w:val="24"/>
          <w:szCs w:val="24"/>
        </w:rPr>
        <w:t>Performance Bond</w:t>
      </w:r>
      <w:r w:rsidRPr="00842A16">
        <w:rPr>
          <w:rFonts w:ascii="Book Antiqua" w:hAnsi="Book Antiqua" w:cs="Times New Roman"/>
          <w:bCs/>
          <w:color w:val="1F3864" w:themeColor="accent1" w:themeShade="80"/>
          <w:sz w:val="24"/>
          <w:szCs w:val="24"/>
        </w:rPr>
        <w:t xml:space="preserve"> for the Standard Bidding Documents for the Procurement of Goods </w:t>
      </w:r>
      <w:r w:rsidR="00F7180D" w:rsidRPr="00842A16">
        <w:rPr>
          <w:rFonts w:ascii="Book Antiqua" w:hAnsi="Book Antiqua" w:cs="Times New Roman"/>
          <w:bCs/>
          <w:color w:val="1F3864" w:themeColor="accent1" w:themeShade="80"/>
          <w:sz w:val="24"/>
          <w:szCs w:val="24"/>
        </w:rPr>
        <w:t xml:space="preserve">(page 92); </w:t>
      </w:r>
      <w:r w:rsidR="000027EC" w:rsidRPr="00842A16">
        <w:rPr>
          <w:rFonts w:ascii="Book Antiqua" w:hAnsi="Book Antiqua" w:cs="Times New Roman"/>
          <w:bCs/>
          <w:color w:val="1F3864" w:themeColor="accent1" w:themeShade="80"/>
          <w:sz w:val="24"/>
          <w:szCs w:val="24"/>
        </w:rPr>
        <w:t xml:space="preserve">and the </w:t>
      </w:r>
      <w:r w:rsidR="00F7180D" w:rsidRPr="00842A16">
        <w:rPr>
          <w:rFonts w:ascii="Book Antiqua" w:hAnsi="Book Antiqua" w:cs="Times New Roman"/>
          <w:bCs/>
          <w:color w:val="1F3864" w:themeColor="accent1" w:themeShade="80"/>
          <w:sz w:val="24"/>
          <w:szCs w:val="24"/>
        </w:rPr>
        <w:t>S</w:t>
      </w:r>
      <w:r w:rsidR="000027EC" w:rsidRPr="00842A16">
        <w:rPr>
          <w:rFonts w:ascii="Book Antiqua" w:hAnsi="Book Antiqua" w:cs="Times New Roman"/>
          <w:bCs/>
          <w:color w:val="1F3864" w:themeColor="accent1" w:themeShade="80"/>
          <w:sz w:val="24"/>
          <w:szCs w:val="24"/>
        </w:rPr>
        <w:t xml:space="preserve">tandard </w:t>
      </w:r>
      <w:r w:rsidR="00F7180D" w:rsidRPr="00842A16">
        <w:rPr>
          <w:rFonts w:ascii="Book Antiqua" w:hAnsi="Book Antiqua" w:cs="Times New Roman"/>
          <w:bCs/>
          <w:color w:val="1F3864" w:themeColor="accent1" w:themeShade="80"/>
          <w:sz w:val="24"/>
          <w:szCs w:val="24"/>
        </w:rPr>
        <w:t>R</w:t>
      </w:r>
      <w:r w:rsidR="000027EC" w:rsidRPr="00842A16">
        <w:rPr>
          <w:rFonts w:ascii="Book Antiqua" w:hAnsi="Book Antiqua" w:cs="Times New Roman"/>
          <w:bCs/>
          <w:color w:val="1F3864" w:themeColor="accent1" w:themeShade="80"/>
          <w:sz w:val="24"/>
          <w:szCs w:val="24"/>
        </w:rPr>
        <w:t xml:space="preserve">equest </w:t>
      </w:r>
      <w:r w:rsidR="00F7180D" w:rsidRPr="00842A16">
        <w:rPr>
          <w:rFonts w:ascii="Book Antiqua" w:hAnsi="Book Antiqua" w:cs="Times New Roman"/>
          <w:bCs/>
          <w:color w:val="1F3864" w:themeColor="accent1" w:themeShade="80"/>
          <w:sz w:val="24"/>
          <w:szCs w:val="24"/>
        </w:rPr>
        <w:t>f</w:t>
      </w:r>
      <w:r w:rsidR="000027EC" w:rsidRPr="00842A16">
        <w:rPr>
          <w:rFonts w:ascii="Book Antiqua" w:hAnsi="Book Antiqua" w:cs="Times New Roman"/>
          <w:bCs/>
          <w:color w:val="1F3864" w:themeColor="accent1" w:themeShade="80"/>
          <w:sz w:val="24"/>
          <w:szCs w:val="24"/>
        </w:rPr>
        <w:t xml:space="preserve">or </w:t>
      </w:r>
      <w:r w:rsidR="00F7180D" w:rsidRPr="00842A16">
        <w:rPr>
          <w:rFonts w:ascii="Book Antiqua" w:hAnsi="Book Antiqua" w:cs="Times New Roman"/>
          <w:bCs/>
          <w:color w:val="1F3864" w:themeColor="accent1" w:themeShade="80"/>
          <w:sz w:val="24"/>
          <w:szCs w:val="24"/>
        </w:rPr>
        <w:t>P</w:t>
      </w:r>
      <w:r w:rsidR="000027EC" w:rsidRPr="00842A16">
        <w:rPr>
          <w:rFonts w:ascii="Book Antiqua" w:hAnsi="Book Antiqua" w:cs="Times New Roman"/>
          <w:bCs/>
          <w:color w:val="1F3864" w:themeColor="accent1" w:themeShade="80"/>
          <w:sz w:val="24"/>
          <w:szCs w:val="24"/>
        </w:rPr>
        <w:t>roposals</w:t>
      </w:r>
      <w:r w:rsidR="00F7180D" w:rsidRPr="00842A16">
        <w:rPr>
          <w:rFonts w:ascii="Book Antiqua" w:hAnsi="Book Antiqua" w:cs="Times New Roman"/>
          <w:bCs/>
          <w:color w:val="1F3864" w:themeColor="accent1" w:themeShade="80"/>
          <w:sz w:val="24"/>
          <w:szCs w:val="24"/>
        </w:rPr>
        <w:t xml:space="preserve"> </w:t>
      </w:r>
      <w:r w:rsidR="000027EC" w:rsidRPr="00842A16">
        <w:rPr>
          <w:rFonts w:ascii="Book Antiqua" w:hAnsi="Book Antiqua" w:cs="Times New Roman"/>
          <w:bCs/>
          <w:color w:val="1F3864" w:themeColor="accent1" w:themeShade="80"/>
          <w:sz w:val="24"/>
          <w:szCs w:val="24"/>
        </w:rPr>
        <w:t xml:space="preserve">as reflected in the section on the Form of Contract (page </w:t>
      </w:r>
      <w:r w:rsidR="00F7180D" w:rsidRPr="00842A16">
        <w:rPr>
          <w:rFonts w:ascii="Book Antiqua" w:hAnsi="Book Antiqua" w:cs="Times New Roman"/>
          <w:bCs/>
          <w:color w:val="1F3864" w:themeColor="accent1" w:themeShade="80"/>
          <w:sz w:val="24"/>
          <w:szCs w:val="24"/>
        </w:rPr>
        <w:t>53</w:t>
      </w:r>
      <w:r w:rsidR="000027EC" w:rsidRPr="00842A16">
        <w:rPr>
          <w:rFonts w:ascii="Book Antiqua" w:hAnsi="Book Antiqua" w:cs="Times New Roman"/>
          <w:bCs/>
          <w:color w:val="1F3864" w:themeColor="accent1" w:themeShade="80"/>
          <w:sz w:val="24"/>
          <w:szCs w:val="24"/>
        </w:rPr>
        <w:t>), Special Conditions of</w:t>
      </w:r>
      <w:r w:rsidR="00F7180D" w:rsidRPr="00842A16">
        <w:rPr>
          <w:rFonts w:ascii="Book Antiqua" w:hAnsi="Book Antiqua" w:cs="Times New Roman"/>
          <w:bCs/>
          <w:color w:val="1F3864" w:themeColor="accent1" w:themeShade="80"/>
          <w:sz w:val="24"/>
          <w:szCs w:val="24"/>
        </w:rPr>
        <w:t xml:space="preserve"> </w:t>
      </w:r>
      <w:r w:rsidR="000027EC" w:rsidRPr="00842A16">
        <w:rPr>
          <w:rFonts w:ascii="Book Antiqua" w:hAnsi="Book Antiqua" w:cs="Times New Roman"/>
          <w:bCs/>
          <w:color w:val="1F3864" w:themeColor="accent1" w:themeShade="80"/>
          <w:sz w:val="24"/>
          <w:szCs w:val="24"/>
        </w:rPr>
        <w:t xml:space="preserve">Contract (page </w:t>
      </w:r>
      <w:r w:rsidR="00F7180D" w:rsidRPr="00842A16">
        <w:rPr>
          <w:rFonts w:ascii="Book Antiqua" w:hAnsi="Book Antiqua" w:cs="Times New Roman"/>
          <w:bCs/>
          <w:color w:val="1F3864" w:themeColor="accent1" w:themeShade="80"/>
          <w:sz w:val="24"/>
          <w:szCs w:val="24"/>
        </w:rPr>
        <w:t>82</w:t>
      </w:r>
      <w:r w:rsidR="000027EC" w:rsidRPr="00842A16">
        <w:rPr>
          <w:rFonts w:ascii="Book Antiqua" w:hAnsi="Book Antiqua" w:cs="Times New Roman"/>
          <w:bCs/>
          <w:color w:val="1F3864" w:themeColor="accent1" w:themeShade="80"/>
          <w:sz w:val="24"/>
          <w:szCs w:val="24"/>
        </w:rPr>
        <w:t xml:space="preserve"> and</w:t>
      </w:r>
      <w:r w:rsidR="00F7180D" w:rsidRPr="00842A16">
        <w:rPr>
          <w:rFonts w:ascii="Book Antiqua" w:hAnsi="Book Antiqua" w:cs="Times New Roman"/>
          <w:bCs/>
          <w:color w:val="1F3864" w:themeColor="accent1" w:themeShade="80"/>
          <w:sz w:val="24"/>
          <w:szCs w:val="24"/>
        </w:rPr>
        <w:t xml:space="preserve"> 112)</w:t>
      </w:r>
    </w:p>
    <w:p w14:paraId="7B17B612" w14:textId="77777777" w:rsidR="00F7180D" w:rsidRPr="00842A16" w:rsidRDefault="00F7180D" w:rsidP="00116BB3">
      <w:pPr>
        <w:jc w:val="both"/>
        <w:rPr>
          <w:rFonts w:ascii="Book Antiqua" w:hAnsi="Book Antiqua" w:cs="Times New Roman"/>
          <w:b/>
          <w:color w:val="1F3864" w:themeColor="accent1" w:themeShade="80"/>
          <w:sz w:val="24"/>
          <w:szCs w:val="24"/>
        </w:rPr>
      </w:pPr>
      <w:bookmarkStart w:id="8" w:name="_Hlk113891158"/>
    </w:p>
    <w:p w14:paraId="624D296D" w14:textId="446EDC4C" w:rsidR="00F7180D" w:rsidRPr="00842A16" w:rsidRDefault="00681B2D" w:rsidP="00116BB3">
      <w:pPr>
        <w:jc w:val="both"/>
        <w:rPr>
          <w:rFonts w:ascii="Book Antiqua" w:hAnsi="Book Antiqua" w:cs="Times New Roman"/>
          <w:b/>
          <w:color w:val="1F3864" w:themeColor="accent1" w:themeShade="80"/>
          <w:sz w:val="24"/>
          <w:szCs w:val="24"/>
        </w:rPr>
      </w:pPr>
      <w:r w:rsidRPr="00842A16">
        <w:rPr>
          <w:rFonts w:ascii="Book Antiqua" w:hAnsi="Book Antiqua" w:cs="Times New Roman"/>
          <w:b/>
          <w:color w:val="1F3864" w:themeColor="accent1" w:themeShade="80"/>
          <w:sz w:val="24"/>
          <w:szCs w:val="24"/>
        </w:rPr>
        <w:lastRenderedPageBreak/>
        <w:t>New Monetary Threshold</w:t>
      </w:r>
    </w:p>
    <w:bookmarkEnd w:id="8"/>
    <w:p w14:paraId="07E4CED8" w14:textId="66E35675" w:rsidR="00F7180D" w:rsidRPr="00842A16" w:rsidRDefault="00681B2D" w:rsidP="00116BB3">
      <w:pPr>
        <w:jc w:val="both"/>
        <w:rPr>
          <w:rFonts w:ascii="Book Antiqua" w:hAnsi="Book Antiqua" w:cs="Times New Roman"/>
          <w:b/>
          <w:i/>
          <w:iCs/>
          <w:color w:val="1F3864" w:themeColor="accent1" w:themeShade="80"/>
          <w:sz w:val="24"/>
          <w:szCs w:val="24"/>
        </w:rPr>
      </w:pPr>
      <w:r w:rsidRPr="00842A16">
        <w:rPr>
          <w:rFonts w:ascii="Book Antiqua" w:hAnsi="Book Antiqua" w:cs="Times New Roman"/>
          <w:b/>
          <w:i/>
          <w:iCs/>
          <w:color w:val="1F3864" w:themeColor="accent1" w:themeShade="80"/>
          <w:sz w:val="24"/>
          <w:szCs w:val="24"/>
        </w:rPr>
        <w:t>Pros</w:t>
      </w:r>
    </w:p>
    <w:p w14:paraId="7C61BA1E" w14:textId="2C0FB1C4" w:rsidR="00F7180D" w:rsidRPr="00842A16" w:rsidRDefault="00681B2D" w:rsidP="00116BB3">
      <w:pPr>
        <w:jc w:val="both"/>
        <w:rPr>
          <w:rFonts w:ascii="Book Antiqua" w:hAnsi="Book Antiqua" w:cs="Times New Roman"/>
          <w:bCs/>
          <w:color w:val="1F3864" w:themeColor="accent1" w:themeShade="80"/>
          <w:sz w:val="24"/>
          <w:szCs w:val="24"/>
        </w:rPr>
      </w:pPr>
      <w:r w:rsidRPr="00842A16">
        <w:rPr>
          <w:rFonts w:ascii="Book Antiqua" w:hAnsi="Book Antiqua" w:cs="Times New Roman"/>
          <w:bCs/>
          <w:color w:val="1F3864" w:themeColor="accent1" w:themeShade="80"/>
          <w:sz w:val="24"/>
          <w:szCs w:val="24"/>
        </w:rPr>
        <w:t xml:space="preserve">The </w:t>
      </w:r>
      <w:r w:rsidR="00D17134" w:rsidRPr="00842A16">
        <w:rPr>
          <w:rFonts w:ascii="Book Antiqua" w:hAnsi="Book Antiqua" w:cs="Times New Roman"/>
          <w:bCs/>
          <w:color w:val="1F3864" w:themeColor="accent1" w:themeShade="80"/>
          <w:sz w:val="24"/>
          <w:szCs w:val="24"/>
        </w:rPr>
        <w:t xml:space="preserve">new monetary threshold stipulates the budget cap for the procurement of goods, works and non-consulting services in line with the procurement methods. It specifically highlights the requirements for documentation, approval, evaluation, negotiation, contract award and review mechanisms in line as it relates with the different procurement methods, </w:t>
      </w:r>
      <w:r w:rsidR="000C3EAD" w:rsidRPr="00842A16">
        <w:rPr>
          <w:rFonts w:ascii="Book Antiqua" w:hAnsi="Book Antiqua" w:cs="Times New Roman"/>
          <w:bCs/>
          <w:color w:val="1F3864" w:themeColor="accent1" w:themeShade="80"/>
          <w:sz w:val="24"/>
          <w:szCs w:val="24"/>
        </w:rPr>
        <w:t>which include national shopping, international shopping, limited national competitive bidding, limited international competitive bidding, national competitive bidding, international competitive bidding, direct contracting and force account.</w:t>
      </w:r>
    </w:p>
    <w:p w14:paraId="7123873D" w14:textId="7B082398" w:rsidR="000C3EAD" w:rsidRPr="00842A16" w:rsidRDefault="000C3EAD" w:rsidP="00116BB3">
      <w:pPr>
        <w:jc w:val="both"/>
        <w:rPr>
          <w:rFonts w:ascii="Book Antiqua" w:hAnsi="Book Antiqua" w:cs="Times New Roman"/>
          <w:bCs/>
          <w:color w:val="1F3864" w:themeColor="accent1" w:themeShade="80"/>
          <w:sz w:val="24"/>
          <w:szCs w:val="24"/>
        </w:rPr>
      </w:pPr>
    </w:p>
    <w:p w14:paraId="024A88EA" w14:textId="55B5B739" w:rsidR="000C3EAD" w:rsidRPr="00842A16" w:rsidRDefault="000C3EAD" w:rsidP="00116BB3">
      <w:pPr>
        <w:jc w:val="both"/>
        <w:rPr>
          <w:rFonts w:ascii="Book Antiqua" w:hAnsi="Book Antiqua" w:cs="Times New Roman"/>
          <w:b/>
          <w:color w:val="1F3864" w:themeColor="accent1" w:themeShade="80"/>
          <w:sz w:val="24"/>
          <w:szCs w:val="24"/>
        </w:rPr>
      </w:pPr>
      <w:r w:rsidRPr="00842A16">
        <w:rPr>
          <w:rFonts w:ascii="Book Antiqua" w:hAnsi="Book Antiqua" w:cs="Times New Roman"/>
          <w:b/>
          <w:color w:val="1F3864" w:themeColor="accent1" w:themeShade="80"/>
          <w:sz w:val="24"/>
          <w:szCs w:val="24"/>
        </w:rPr>
        <w:t xml:space="preserve">Cons </w:t>
      </w:r>
    </w:p>
    <w:p w14:paraId="3742E1F2" w14:textId="49670379" w:rsidR="000C3EAD" w:rsidRPr="00842A16" w:rsidRDefault="000C3EAD" w:rsidP="000C3EAD">
      <w:pPr>
        <w:pStyle w:val="ListParagraph"/>
        <w:numPr>
          <w:ilvl w:val="0"/>
          <w:numId w:val="6"/>
        </w:numPr>
        <w:jc w:val="both"/>
        <w:rPr>
          <w:rFonts w:ascii="Book Antiqua" w:hAnsi="Book Antiqua" w:cs="Times New Roman"/>
          <w:b/>
          <w:color w:val="1F3864" w:themeColor="accent1" w:themeShade="80"/>
          <w:sz w:val="24"/>
          <w:szCs w:val="24"/>
        </w:rPr>
      </w:pPr>
      <w:r w:rsidRPr="00842A16">
        <w:rPr>
          <w:rFonts w:ascii="Book Antiqua" w:hAnsi="Book Antiqua" w:cs="Times New Roman"/>
          <w:bCs/>
          <w:color w:val="1F3864" w:themeColor="accent1" w:themeShade="80"/>
          <w:sz w:val="24"/>
          <w:szCs w:val="24"/>
        </w:rPr>
        <w:t>The approving authority under certain sections need to be more specific to enhance readability</w:t>
      </w:r>
    </w:p>
    <w:p w14:paraId="7D3F5CCA" w14:textId="77777777" w:rsidR="00BC5365" w:rsidRPr="00842A16" w:rsidRDefault="00BC5365" w:rsidP="00BC5365">
      <w:pPr>
        <w:pStyle w:val="ListParagraph"/>
        <w:numPr>
          <w:ilvl w:val="0"/>
          <w:numId w:val="6"/>
        </w:numPr>
        <w:jc w:val="both"/>
        <w:rPr>
          <w:rFonts w:ascii="Book Antiqua" w:hAnsi="Book Antiqua" w:cs="Times New Roman"/>
          <w:b/>
          <w:bCs/>
          <w:color w:val="1F3864" w:themeColor="accent1" w:themeShade="80"/>
          <w:sz w:val="24"/>
          <w:szCs w:val="24"/>
        </w:rPr>
      </w:pPr>
      <w:r w:rsidRPr="00842A16">
        <w:rPr>
          <w:rFonts w:ascii="Book Antiqua" w:hAnsi="Book Antiqua" w:cs="Times New Roman"/>
          <w:bCs/>
          <w:color w:val="1F3864" w:themeColor="accent1" w:themeShade="80"/>
          <w:sz w:val="24"/>
          <w:szCs w:val="24"/>
        </w:rPr>
        <w:t>There is need for consistency in the use of initial capitalization for key words all through the document to enhance readability and clarity of meaning and intention</w:t>
      </w:r>
    </w:p>
    <w:p w14:paraId="02D7B735" w14:textId="77777777" w:rsidR="00BC5365" w:rsidRPr="00842A16" w:rsidRDefault="00BC5365" w:rsidP="00BC5365">
      <w:pPr>
        <w:pStyle w:val="ListParagraph"/>
        <w:numPr>
          <w:ilvl w:val="0"/>
          <w:numId w:val="6"/>
        </w:numPr>
        <w:jc w:val="both"/>
        <w:rPr>
          <w:rFonts w:ascii="Book Antiqua" w:hAnsi="Book Antiqua" w:cs="Times New Roman"/>
          <w:b/>
          <w:bCs/>
          <w:color w:val="1F3864" w:themeColor="accent1" w:themeShade="80"/>
          <w:sz w:val="24"/>
          <w:szCs w:val="24"/>
        </w:rPr>
      </w:pPr>
      <w:r w:rsidRPr="00842A16">
        <w:rPr>
          <w:rFonts w:ascii="Book Antiqua" w:hAnsi="Book Antiqua" w:cs="Times New Roman"/>
          <w:bCs/>
          <w:color w:val="1F3864" w:themeColor="accent1" w:themeShade="80"/>
          <w:sz w:val="24"/>
          <w:szCs w:val="24"/>
        </w:rPr>
        <w:t>There is need for copy-editing to enhance readability</w:t>
      </w:r>
    </w:p>
    <w:p w14:paraId="0FFD2349" w14:textId="12803F8B" w:rsidR="00BC5365" w:rsidRPr="00842A16" w:rsidRDefault="00BC5365" w:rsidP="00BC5365">
      <w:pPr>
        <w:jc w:val="both"/>
        <w:rPr>
          <w:rFonts w:ascii="Book Antiqua" w:hAnsi="Book Antiqua" w:cs="Times New Roman"/>
          <w:b/>
          <w:color w:val="1F3864" w:themeColor="accent1" w:themeShade="80"/>
          <w:sz w:val="24"/>
          <w:szCs w:val="24"/>
        </w:rPr>
      </w:pPr>
    </w:p>
    <w:p w14:paraId="5D127888" w14:textId="3D825A08" w:rsidR="00BC5365" w:rsidRPr="00842A16" w:rsidRDefault="007C5D93" w:rsidP="00BC5365">
      <w:pPr>
        <w:jc w:val="both"/>
        <w:rPr>
          <w:rFonts w:ascii="Book Antiqua" w:hAnsi="Book Antiqua" w:cs="Times New Roman"/>
          <w:b/>
          <w:color w:val="1F3864" w:themeColor="accent1" w:themeShade="80"/>
          <w:sz w:val="24"/>
          <w:szCs w:val="24"/>
        </w:rPr>
      </w:pPr>
      <w:bookmarkStart w:id="9" w:name="_Hlk113891196"/>
      <w:r w:rsidRPr="00842A16">
        <w:rPr>
          <w:rFonts w:ascii="Book Antiqua" w:hAnsi="Book Antiqua" w:cs="Times New Roman"/>
          <w:b/>
          <w:color w:val="1F3864" w:themeColor="accent1" w:themeShade="80"/>
          <w:sz w:val="24"/>
          <w:szCs w:val="24"/>
        </w:rPr>
        <w:t>Open Contracting Data Standard (</w:t>
      </w:r>
      <w:r w:rsidR="00BC5365" w:rsidRPr="00842A16">
        <w:rPr>
          <w:rFonts w:ascii="Book Antiqua" w:hAnsi="Book Antiqua" w:cs="Times New Roman"/>
          <w:b/>
          <w:color w:val="1F3864" w:themeColor="accent1" w:themeShade="80"/>
          <w:sz w:val="24"/>
          <w:szCs w:val="24"/>
        </w:rPr>
        <w:t>OCDS</w:t>
      </w:r>
      <w:r w:rsidRPr="00842A16">
        <w:rPr>
          <w:rFonts w:ascii="Book Antiqua" w:hAnsi="Book Antiqua" w:cs="Times New Roman"/>
          <w:b/>
          <w:color w:val="1F3864" w:themeColor="accent1" w:themeShade="80"/>
          <w:sz w:val="24"/>
          <w:szCs w:val="24"/>
        </w:rPr>
        <w:t>)</w:t>
      </w:r>
      <w:r w:rsidR="00BC5365" w:rsidRPr="00842A16">
        <w:rPr>
          <w:rFonts w:ascii="Book Antiqua" w:hAnsi="Book Antiqua" w:cs="Times New Roman"/>
          <w:b/>
          <w:color w:val="1F3864" w:themeColor="accent1" w:themeShade="80"/>
          <w:sz w:val="24"/>
          <w:szCs w:val="24"/>
        </w:rPr>
        <w:t xml:space="preserve"> Publication Policy</w:t>
      </w:r>
    </w:p>
    <w:bookmarkEnd w:id="9"/>
    <w:p w14:paraId="2D1474E1" w14:textId="52DB3977" w:rsidR="00FF190E" w:rsidRPr="00842A16" w:rsidRDefault="00FF190E" w:rsidP="00BC5365">
      <w:pPr>
        <w:jc w:val="both"/>
        <w:rPr>
          <w:rFonts w:ascii="Book Antiqua" w:hAnsi="Book Antiqua" w:cs="Times New Roman"/>
          <w:b/>
          <w:i/>
          <w:iCs/>
          <w:color w:val="1F3864" w:themeColor="accent1" w:themeShade="80"/>
          <w:sz w:val="24"/>
          <w:szCs w:val="24"/>
        </w:rPr>
      </w:pPr>
      <w:r w:rsidRPr="00842A16">
        <w:rPr>
          <w:rFonts w:ascii="Book Antiqua" w:hAnsi="Book Antiqua" w:cs="Times New Roman"/>
          <w:b/>
          <w:i/>
          <w:iCs/>
          <w:color w:val="1F3864" w:themeColor="accent1" w:themeShade="80"/>
          <w:sz w:val="24"/>
          <w:szCs w:val="24"/>
        </w:rPr>
        <w:t>Pros</w:t>
      </w:r>
    </w:p>
    <w:p w14:paraId="1C1F7D8B" w14:textId="44960BF5" w:rsidR="00F7180D" w:rsidRPr="00842A16" w:rsidRDefault="00BC5365" w:rsidP="00116BB3">
      <w:pPr>
        <w:jc w:val="both"/>
        <w:rPr>
          <w:rFonts w:ascii="Book Antiqua" w:hAnsi="Book Antiqua" w:cs="Times New Roman"/>
          <w:bCs/>
          <w:color w:val="1F3864" w:themeColor="accent1" w:themeShade="80"/>
          <w:sz w:val="24"/>
          <w:szCs w:val="24"/>
        </w:rPr>
      </w:pPr>
      <w:r w:rsidRPr="00842A16">
        <w:rPr>
          <w:rFonts w:ascii="Book Antiqua" w:hAnsi="Book Antiqua" w:cs="Times New Roman"/>
          <w:bCs/>
          <w:color w:val="1F3864" w:themeColor="accent1" w:themeShade="80"/>
          <w:sz w:val="24"/>
          <w:szCs w:val="24"/>
        </w:rPr>
        <w:t>The open contracting data standard for the state is outline</w:t>
      </w:r>
      <w:r w:rsidR="002C5E17">
        <w:rPr>
          <w:rFonts w:ascii="Book Antiqua" w:hAnsi="Book Antiqua" w:cs="Times New Roman"/>
          <w:bCs/>
          <w:color w:val="1F3864" w:themeColor="accent1" w:themeShade="80"/>
          <w:sz w:val="24"/>
          <w:szCs w:val="24"/>
        </w:rPr>
        <w:t>d</w:t>
      </w:r>
      <w:r w:rsidRPr="00842A16">
        <w:rPr>
          <w:rFonts w:ascii="Book Antiqua" w:hAnsi="Book Antiqua" w:cs="Times New Roman"/>
          <w:bCs/>
          <w:color w:val="1F3864" w:themeColor="accent1" w:themeShade="80"/>
          <w:sz w:val="24"/>
          <w:szCs w:val="24"/>
        </w:rPr>
        <w:t xml:space="preserve"> in this policy which is applicable to the monthly publication of contract awards above the N20m threshold</w:t>
      </w:r>
      <w:r w:rsidR="00927564">
        <w:rPr>
          <w:rFonts w:ascii="Book Antiqua" w:hAnsi="Book Antiqua" w:cs="Times New Roman"/>
          <w:bCs/>
          <w:color w:val="1F3864" w:themeColor="accent1" w:themeShade="80"/>
          <w:sz w:val="24"/>
          <w:szCs w:val="24"/>
        </w:rPr>
        <w:t xml:space="preserve"> for which the approval of the EDPPA is required</w:t>
      </w:r>
      <w:bookmarkStart w:id="10" w:name="_GoBack"/>
      <w:bookmarkEnd w:id="10"/>
      <w:r w:rsidRPr="00842A16">
        <w:rPr>
          <w:rFonts w:ascii="Book Antiqua" w:hAnsi="Book Antiqua" w:cs="Times New Roman"/>
          <w:bCs/>
          <w:color w:val="1F3864" w:themeColor="accent1" w:themeShade="80"/>
          <w:sz w:val="24"/>
          <w:szCs w:val="24"/>
        </w:rPr>
        <w:t xml:space="preserve">. It is in line with the </w:t>
      </w:r>
      <w:r w:rsidR="00FF190E" w:rsidRPr="00842A16">
        <w:rPr>
          <w:rFonts w:ascii="Book Antiqua" w:hAnsi="Book Antiqua" w:cs="Times New Roman"/>
          <w:bCs/>
          <w:color w:val="1F3864" w:themeColor="accent1" w:themeShade="80"/>
          <w:sz w:val="24"/>
          <w:szCs w:val="24"/>
        </w:rPr>
        <w:t xml:space="preserve">adoption of transparency and accountability by the agency by providing information on the publisher of the data, generation of data, publication of data and excluded data. The OCDS portal is designed to be user friendly through interoperability and potential for wide-range re-use. </w:t>
      </w:r>
    </w:p>
    <w:p w14:paraId="08B6E343" w14:textId="0E213080" w:rsidR="00F7180D" w:rsidRPr="00842A16" w:rsidRDefault="00F7180D" w:rsidP="00116BB3">
      <w:pPr>
        <w:jc w:val="both"/>
        <w:rPr>
          <w:rFonts w:ascii="Book Antiqua" w:hAnsi="Book Antiqua" w:cs="Times New Roman"/>
          <w:bCs/>
          <w:color w:val="1F3864" w:themeColor="accent1" w:themeShade="80"/>
          <w:sz w:val="24"/>
          <w:szCs w:val="24"/>
        </w:rPr>
      </w:pPr>
    </w:p>
    <w:p w14:paraId="2A4E477D" w14:textId="2610DA8D" w:rsidR="000A10D9" w:rsidRPr="00842A16" w:rsidRDefault="000A10D9" w:rsidP="00116BB3">
      <w:pPr>
        <w:jc w:val="both"/>
        <w:rPr>
          <w:rFonts w:ascii="Book Antiqua" w:hAnsi="Book Antiqua" w:cs="Times New Roman"/>
          <w:b/>
          <w:i/>
          <w:iCs/>
          <w:color w:val="1F3864" w:themeColor="accent1" w:themeShade="80"/>
          <w:sz w:val="24"/>
          <w:szCs w:val="24"/>
        </w:rPr>
      </w:pPr>
      <w:r w:rsidRPr="00842A16">
        <w:rPr>
          <w:rFonts w:ascii="Book Antiqua" w:hAnsi="Book Antiqua" w:cs="Times New Roman"/>
          <w:b/>
          <w:i/>
          <w:iCs/>
          <w:color w:val="1F3864" w:themeColor="accent1" w:themeShade="80"/>
          <w:sz w:val="24"/>
          <w:szCs w:val="24"/>
        </w:rPr>
        <w:t>Cons</w:t>
      </w:r>
    </w:p>
    <w:p w14:paraId="6F9D1408" w14:textId="167063FC" w:rsidR="000A10D9" w:rsidRPr="00842A16" w:rsidRDefault="000A10D9" w:rsidP="000A10D9">
      <w:pPr>
        <w:pStyle w:val="ListParagraph"/>
        <w:numPr>
          <w:ilvl w:val="0"/>
          <w:numId w:val="7"/>
        </w:numPr>
        <w:jc w:val="both"/>
        <w:rPr>
          <w:rFonts w:ascii="Book Antiqua" w:hAnsi="Book Antiqua" w:cs="Times New Roman"/>
          <w:b/>
          <w:color w:val="1F3864" w:themeColor="accent1" w:themeShade="80"/>
          <w:sz w:val="24"/>
          <w:szCs w:val="24"/>
        </w:rPr>
      </w:pPr>
      <w:r w:rsidRPr="00842A16">
        <w:rPr>
          <w:rFonts w:ascii="Book Antiqua" w:hAnsi="Book Antiqua" w:cs="Times New Roman"/>
          <w:bCs/>
          <w:color w:val="1F3864" w:themeColor="accent1" w:themeShade="80"/>
          <w:sz w:val="24"/>
          <w:szCs w:val="24"/>
        </w:rPr>
        <w:t xml:space="preserve">The use of the word ‘secrecy’ (as it appears contradictory to the quest for transparency and accountability) could be revisited in </w:t>
      </w:r>
      <w:r w:rsidRPr="00842A16">
        <w:rPr>
          <w:rFonts w:ascii="Book Antiqua" w:hAnsi="Book Antiqua" w:cs="Times New Roman"/>
          <w:b/>
          <w:color w:val="1F3864" w:themeColor="accent1" w:themeShade="80"/>
          <w:sz w:val="24"/>
          <w:szCs w:val="24"/>
        </w:rPr>
        <w:t xml:space="preserve">Section 6.0 </w:t>
      </w:r>
      <w:r w:rsidRPr="00842A16">
        <w:rPr>
          <w:rFonts w:ascii="Book Antiqua" w:hAnsi="Book Antiqua" w:cs="Times New Roman"/>
          <w:bCs/>
          <w:color w:val="1F3864" w:themeColor="accent1" w:themeShade="80"/>
          <w:sz w:val="24"/>
          <w:szCs w:val="24"/>
        </w:rPr>
        <w:t>which details the determinants for disclosure of information</w:t>
      </w:r>
    </w:p>
    <w:p w14:paraId="0C3DCE9C" w14:textId="1D6772CC" w:rsidR="000A10D9" w:rsidRPr="00842A16" w:rsidRDefault="000A10D9" w:rsidP="000A10D9">
      <w:pPr>
        <w:pStyle w:val="ListParagraph"/>
        <w:numPr>
          <w:ilvl w:val="0"/>
          <w:numId w:val="7"/>
        </w:numPr>
        <w:jc w:val="both"/>
        <w:rPr>
          <w:rFonts w:ascii="Book Antiqua" w:hAnsi="Book Antiqua" w:cs="Times New Roman"/>
          <w:b/>
          <w:color w:val="1F3864" w:themeColor="accent1" w:themeShade="80"/>
          <w:sz w:val="24"/>
          <w:szCs w:val="24"/>
        </w:rPr>
      </w:pPr>
      <w:r w:rsidRPr="00842A16">
        <w:rPr>
          <w:rFonts w:ascii="Book Antiqua" w:hAnsi="Book Antiqua" w:cs="Times New Roman"/>
          <w:bCs/>
          <w:color w:val="1F3864" w:themeColor="accent1" w:themeShade="80"/>
          <w:sz w:val="24"/>
          <w:szCs w:val="24"/>
        </w:rPr>
        <w:t>The use of the words ‘modify and transform’</w:t>
      </w:r>
      <w:r w:rsidR="005B6AE9" w:rsidRPr="00842A16">
        <w:rPr>
          <w:rFonts w:ascii="Book Antiqua" w:hAnsi="Book Antiqua" w:cs="Times New Roman"/>
          <w:bCs/>
          <w:color w:val="1F3864" w:themeColor="accent1" w:themeShade="80"/>
          <w:sz w:val="24"/>
          <w:szCs w:val="24"/>
        </w:rPr>
        <w:t xml:space="preserve"> </w:t>
      </w:r>
      <w:r w:rsidR="005B6AE9" w:rsidRPr="00842A16">
        <w:rPr>
          <w:rFonts w:ascii="Book Antiqua" w:hAnsi="Book Antiqua" w:cs="Times New Roman"/>
          <w:b/>
          <w:color w:val="1F3864" w:themeColor="accent1" w:themeShade="80"/>
          <w:sz w:val="24"/>
          <w:szCs w:val="24"/>
        </w:rPr>
        <w:t xml:space="preserve">Section 7.1 (iii) </w:t>
      </w:r>
      <w:r w:rsidR="005B6AE9" w:rsidRPr="00842A16">
        <w:rPr>
          <w:rFonts w:ascii="Book Antiqua" w:hAnsi="Book Antiqua" w:cs="Times New Roman"/>
          <w:bCs/>
          <w:color w:val="1F3864" w:themeColor="accent1" w:themeShade="80"/>
          <w:sz w:val="24"/>
          <w:szCs w:val="24"/>
        </w:rPr>
        <w:t>could be implied to meet alteration of data. The expression ‘build upon the data’ seems sufficient.</w:t>
      </w:r>
    </w:p>
    <w:p w14:paraId="32CD29F1" w14:textId="5A3554EA" w:rsidR="00876549" w:rsidRPr="00842A16" w:rsidRDefault="00876549" w:rsidP="00B2295B">
      <w:pPr>
        <w:jc w:val="center"/>
        <w:rPr>
          <w:rFonts w:ascii="Book Antiqua" w:hAnsi="Book Antiqua" w:cs="Times New Roman"/>
          <w:b/>
          <w:bCs/>
          <w:color w:val="1F3864" w:themeColor="accent1" w:themeShade="80"/>
          <w:sz w:val="24"/>
          <w:szCs w:val="24"/>
        </w:rPr>
      </w:pPr>
      <w:bookmarkStart w:id="11" w:name="_Hlk113891212"/>
      <w:r w:rsidRPr="00842A16">
        <w:rPr>
          <w:rFonts w:ascii="Book Antiqua" w:hAnsi="Book Antiqua" w:cs="Times New Roman"/>
          <w:b/>
          <w:bCs/>
          <w:color w:val="1F3864" w:themeColor="accent1" w:themeShade="80"/>
          <w:sz w:val="24"/>
          <w:szCs w:val="24"/>
        </w:rPr>
        <w:lastRenderedPageBreak/>
        <w:t>Conclusion</w:t>
      </w:r>
    </w:p>
    <w:bookmarkEnd w:id="11"/>
    <w:p w14:paraId="53E16515" w14:textId="0F77B922" w:rsidR="00876549" w:rsidRPr="00842A16" w:rsidRDefault="00876549" w:rsidP="00BB543B">
      <w:pPr>
        <w:jc w:val="both"/>
        <w:rPr>
          <w:rFonts w:ascii="Book Antiqua" w:hAnsi="Book Antiqua" w:cs="Times New Roman"/>
          <w:color w:val="1F3864" w:themeColor="accent1" w:themeShade="80"/>
          <w:sz w:val="24"/>
          <w:szCs w:val="24"/>
        </w:rPr>
      </w:pPr>
      <w:r w:rsidRPr="00842A16">
        <w:rPr>
          <w:rFonts w:ascii="Book Antiqua" w:hAnsi="Book Antiqua" w:cs="Times New Roman"/>
          <w:color w:val="1F3864" w:themeColor="accent1" w:themeShade="80"/>
          <w:sz w:val="24"/>
          <w:szCs w:val="24"/>
        </w:rPr>
        <w:t>The policy framework of the Edo State Public Procurement Agency aligns with the good practices on inclusive participation,</w:t>
      </w:r>
      <w:r w:rsidR="007C5D93" w:rsidRPr="00842A16">
        <w:rPr>
          <w:rFonts w:ascii="Book Antiqua" w:hAnsi="Book Antiqua" w:cs="Times New Roman"/>
          <w:color w:val="1F3864" w:themeColor="accent1" w:themeShade="80"/>
          <w:sz w:val="24"/>
          <w:szCs w:val="24"/>
        </w:rPr>
        <w:t xml:space="preserve"> </w:t>
      </w:r>
      <w:r w:rsidR="007674AD" w:rsidRPr="00842A16">
        <w:rPr>
          <w:rFonts w:ascii="Book Antiqua" w:hAnsi="Book Antiqua" w:cs="Times New Roman"/>
          <w:color w:val="1F3864" w:themeColor="accent1" w:themeShade="80"/>
          <w:sz w:val="24"/>
          <w:szCs w:val="24"/>
        </w:rPr>
        <w:t>transparency</w:t>
      </w:r>
      <w:r w:rsidR="007C5D93" w:rsidRPr="00842A16">
        <w:rPr>
          <w:rFonts w:ascii="Book Antiqua" w:hAnsi="Book Antiqua" w:cs="Times New Roman"/>
          <w:color w:val="1F3864" w:themeColor="accent1" w:themeShade="80"/>
          <w:sz w:val="24"/>
          <w:szCs w:val="24"/>
        </w:rPr>
        <w:t xml:space="preserve">, accountability, economy and efficiency. The agency remains one of the trailblazing </w:t>
      </w:r>
      <w:r w:rsidR="00966767" w:rsidRPr="00842A16">
        <w:rPr>
          <w:rFonts w:ascii="Book Antiqua" w:hAnsi="Book Antiqua" w:cs="Times New Roman"/>
          <w:color w:val="1F3864" w:themeColor="accent1" w:themeShade="80"/>
          <w:sz w:val="24"/>
          <w:szCs w:val="24"/>
        </w:rPr>
        <w:t>states</w:t>
      </w:r>
      <w:r w:rsidR="007C5D93" w:rsidRPr="00842A16">
        <w:rPr>
          <w:rFonts w:ascii="Book Antiqua" w:hAnsi="Book Antiqua" w:cs="Times New Roman"/>
          <w:color w:val="1F3864" w:themeColor="accent1" w:themeShade="80"/>
          <w:sz w:val="24"/>
          <w:szCs w:val="24"/>
        </w:rPr>
        <w:t xml:space="preserve"> on e-procurement within Nigeria and has engaged in experience sharing with 16 other states having started its OCDS </w:t>
      </w:r>
      <w:r w:rsidR="00966767" w:rsidRPr="00842A16">
        <w:rPr>
          <w:rFonts w:ascii="Book Antiqua" w:hAnsi="Book Antiqua" w:cs="Times New Roman"/>
          <w:color w:val="1F3864" w:themeColor="accent1" w:themeShade="80"/>
          <w:sz w:val="24"/>
          <w:szCs w:val="24"/>
        </w:rPr>
        <w:t>publication in 2018.</w:t>
      </w:r>
      <w:r w:rsidR="00774ED1" w:rsidRPr="00842A16">
        <w:rPr>
          <w:rFonts w:ascii="Book Antiqua" w:hAnsi="Book Antiqua" w:cs="Times New Roman"/>
          <w:color w:val="1F3864" w:themeColor="accent1" w:themeShade="80"/>
          <w:sz w:val="24"/>
          <w:szCs w:val="24"/>
        </w:rPr>
        <w:t xml:space="preserve"> Apart from the agency’s website, the agency has a dedicated e-procurement portal as well as the Edo State Open Contracting Data Portal, which reflects its embrace of technology to curb corrupt practices through the procurement cycle. Nonetheless, there is need for some updates and revisions within its policy framework to consolidate the attempts at gender responsiveness and provide appropriate legal backing for its </w:t>
      </w:r>
      <w:r w:rsidR="00082AC9" w:rsidRPr="00842A16">
        <w:rPr>
          <w:rFonts w:ascii="Book Antiqua" w:hAnsi="Book Antiqua" w:cs="Times New Roman"/>
          <w:color w:val="1F3864" w:themeColor="accent1" w:themeShade="80"/>
          <w:sz w:val="24"/>
          <w:szCs w:val="24"/>
        </w:rPr>
        <w:t>functioning</w:t>
      </w:r>
      <w:r w:rsidR="00774ED1" w:rsidRPr="00842A16">
        <w:rPr>
          <w:rFonts w:ascii="Book Antiqua" w:hAnsi="Book Antiqua" w:cs="Times New Roman"/>
          <w:color w:val="1F3864" w:themeColor="accent1" w:themeShade="80"/>
          <w:sz w:val="24"/>
          <w:szCs w:val="24"/>
        </w:rPr>
        <w:t>.</w:t>
      </w:r>
    </w:p>
    <w:p w14:paraId="31993D9F" w14:textId="77777777" w:rsidR="00876549" w:rsidRPr="00842A16" w:rsidRDefault="00876549" w:rsidP="00BB543B">
      <w:pPr>
        <w:jc w:val="both"/>
        <w:rPr>
          <w:rFonts w:ascii="Book Antiqua" w:hAnsi="Book Antiqua" w:cs="Times New Roman"/>
          <w:b/>
          <w:bCs/>
          <w:color w:val="1F3864" w:themeColor="accent1" w:themeShade="80"/>
          <w:sz w:val="24"/>
          <w:szCs w:val="24"/>
        </w:rPr>
      </w:pPr>
    </w:p>
    <w:p w14:paraId="5ADEC44F" w14:textId="58012CC9" w:rsidR="00985798" w:rsidRDefault="00985798" w:rsidP="00B2295B">
      <w:pPr>
        <w:jc w:val="center"/>
        <w:rPr>
          <w:rFonts w:ascii="Book Antiqua" w:hAnsi="Book Antiqua" w:cs="Times New Roman"/>
          <w:b/>
          <w:bCs/>
          <w:color w:val="1F3864" w:themeColor="accent1" w:themeShade="80"/>
          <w:sz w:val="24"/>
          <w:szCs w:val="24"/>
        </w:rPr>
      </w:pPr>
      <w:bookmarkStart w:id="12" w:name="_Hlk113891225"/>
      <w:r w:rsidRPr="00842A16">
        <w:rPr>
          <w:rFonts w:ascii="Book Antiqua" w:hAnsi="Book Antiqua" w:cs="Times New Roman"/>
          <w:b/>
          <w:bCs/>
          <w:color w:val="1F3864" w:themeColor="accent1" w:themeShade="80"/>
          <w:sz w:val="24"/>
          <w:szCs w:val="24"/>
        </w:rPr>
        <w:t>Recommendations / Next Steps</w:t>
      </w:r>
    </w:p>
    <w:p w14:paraId="402007BE" w14:textId="10F82A5E" w:rsidR="00BA1CAA" w:rsidRPr="00BA1CAA" w:rsidRDefault="00BA1CAA" w:rsidP="00B2295B">
      <w:pPr>
        <w:jc w:val="center"/>
        <w:rPr>
          <w:rFonts w:ascii="Book Antiqua" w:hAnsi="Book Antiqua" w:cs="Times New Roman"/>
          <w:b/>
          <w:bCs/>
          <w:i/>
          <w:iCs/>
          <w:color w:val="1F3864" w:themeColor="accent1" w:themeShade="80"/>
          <w:sz w:val="24"/>
          <w:szCs w:val="24"/>
        </w:rPr>
      </w:pPr>
      <w:r w:rsidRPr="00BA1CAA">
        <w:rPr>
          <w:rFonts w:ascii="Book Antiqua" w:hAnsi="Book Antiqua" w:cs="Times New Roman"/>
          <w:b/>
          <w:bCs/>
          <w:i/>
          <w:iCs/>
          <w:color w:val="1F3864" w:themeColor="accent1" w:themeShade="80"/>
          <w:sz w:val="24"/>
          <w:szCs w:val="24"/>
        </w:rPr>
        <w:t>Strengthened ecosystem working to advance open contracting in Nigeria</w:t>
      </w:r>
    </w:p>
    <w:bookmarkEnd w:id="12"/>
    <w:p w14:paraId="0E75E742" w14:textId="0438C116" w:rsidR="00D5121C" w:rsidRDefault="00D5121C" w:rsidP="00D5121C">
      <w:pPr>
        <w:pStyle w:val="ListParagraph"/>
        <w:numPr>
          <w:ilvl w:val="0"/>
          <w:numId w:val="7"/>
        </w:numPr>
        <w:jc w:val="both"/>
        <w:rPr>
          <w:rFonts w:ascii="Book Antiqua" w:eastAsia="Calibri" w:hAnsi="Book Antiqua" w:cs="Times New Roman"/>
          <w:bCs/>
          <w:color w:val="1F3864" w:themeColor="accent1" w:themeShade="80"/>
          <w:sz w:val="24"/>
          <w:szCs w:val="24"/>
        </w:rPr>
      </w:pPr>
      <w:r w:rsidRPr="00842A16">
        <w:rPr>
          <w:rFonts w:ascii="Book Antiqua" w:hAnsi="Book Antiqua" w:cs="Times New Roman"/>
          <w:color w:val="1F3864" w:themeColor="accent1" w:themeShade="80"/>
          <w:sz w:val="24"/>
          <w:szCs w:val="24"/>
        </w:rPr>
        <w:t xml:space="preserve">There is need to review the </w:t>
      </w:r>
      <w:r w:rsidRPr="00842A16">
        <w:rPr>
          <w:rFonts w:ascii="Book Antiqua" w:eastAsia="Calibri" w:hAnsi="Book Antiqua" w:cs="Times New Roman"/>
          <w:bCs/>
          <w:color w:val="1F3864" w:themeColor="accent1" w:themeShade="80"/>
          <w:sz w:val="24"/>
          <w:szCs w:val="24"/>
        </w:rPr>
        <w:t>Public Procurement (Repeal and Re-enactment) Law 2020 and subsidiary legislations in line with</w:t>
      </w:r>
      <w:r w:rsidR="00DC02B0" w:rsidRPr="00842A16">
        <w:rPr>
          <w:rFonts w:ascii="Book Antiqua" w:eastAsia="Calibri" w:hAnsi="Book Antiqua" w:cs="Times New Roman"/>
          <w:bCs/>
          <w:color w:val="1F3864" w:themeColor="accent1" w:themeShade="80"/>
          <w:sz w:val="24"/>
          <w:szCs w:val="24"/>
        </w:rPr>
        <w:t xml:space="preserve"> the goal of inclusiveness, transparency and accountability in procurement processes within the state</w:t>
      </w:r>
    </w:p>
    <w:p w14:paraId="41DAB1CF" w14:textId="1A3D4147" w:rsidR="00D5121C" w:rsidRPr="001164CB" w:rsidRDefault="00DC02B0" w:rsidP="00D5121C">
      <w:pPr>
        <w:pStyle w:val="ListParagraph"/>
        <w:numPr>
          <w:ilvl w:val="0"/>
          <w:numId w:val="7"/>
        </w:numPr>
        <w:jc w:val="both"/>
        <w:rPr>
          <w:rFonts w:ascii="Book Antiqua" w:hAnsi="Book Antiqua" w:cs="Times New Roman"/>
          <w:b/>
          <w:bCs/>
          <w:color w:val="1F3864" w:themeColor="accent1" w:themeShade="80"/>
          <w:sz w:val="24"/>
          <w:szCs w:val="24"/>
        </w:rPr>
      </w:pPr>
      <w:r w:rsidRPr="00842A16">
        <w:rPr>
          <w:rFonts w:ascii="Book Antiqua" w:hAnsi="Book Antiqua" w:cs="Times New Roman"/>
          <w:color w:val="1F3864" w:themeColor="accent1" w:themeShade="80"/>
          <w:sz w:val="24"/>
          <w:szCs w:val="24"/>
        </w:rPr>
        <w:t>There is need to update the provisions of law in the subsidiary legislations to the re-enacted law</w:t>
      </w:r>
      <w:r w:rsidR="00397DBB" w:rsidRPr="00842A16">
        <w:rPr>
          <w:rFonts w:ascii="Book Antiqua" w:hAnsi="Book Antiqua" w:cs="Times New Roman"/>
          <w:color w:val="1F3864" w:themeColor="accent1" w:themeShade="80"/>
          <w:sz w:val="24"/>
          <w:szCs w:val="24"/>
        </w:rPr>
        <w:t xml:space="preserve">, as they currently reference the repealed the </w:t>
      </w:r>
      <w:r w:rsidR="00397DBB" w:rsidRPr="00842A16">
        <w:rPr>
          <w:rFonts w:ascii="Book Antiqua" w:eastAsia="Calibri" w:hAnsi="Book Antiqua" w:cs="Times New Roman"/>
          <w:bCs/>
          <w:color w:val="1F3864" w:themeColor="accent1" w:themeShade="80"/>
          <w:sz w:val="24"/>
          <w:szCs w:val="24"/>
        </w:rPr>
        <w:t>Public Procurement Law 2012.</w:t>
      </w:r>
    </w:p>
    <w:p w14:paraId="31CA910A" w14:textId="5342E18C" w:rsidR="001164CB" w:rsidRPr="00300C33" w:rsidRDefault="001164CB" w:rsidP="00D5121C">
      <w:pPr>
        <w:pStyle w:val="ListParagraph"/>
        <w:numPr>
          <w:ilvl w:val="0"/>
          <w:numId w:val="7"/>
        </w:numPr>
        <w:jc w:val="both"/>
        <w:rPr>
          <w:rFonts w:ascii="Book Antiqua" w:hAnsi="Book Antiqua" w:cs="Times New Roman"/>
          <w:b/>
          <w:bCs/>
          <w:color w:val="1F3864" w:themeColor="accent1" w:themeShade="80"/>
          <w:sz w:val="24"/>
          <w:szCs w:val="24"/>
        </w:rPr>
      </w:pPr>
      <w:r>
        <w:rPr>
          <w:rFonts w:ascii="Book Antiqua" w:eastAsia="Calibri" w:hAnsi="Book Antiqua" w:cs="Times New Roman"/>
          <w:bCs/>
          <w:color w:val="1F3864" w:themeColor="accent1" w:themeShade="80"/>
          <w:sz w:val="24"/>
          <w:szCs w:val="24"/>
        </w:rPr>
        <w:t>The agency should also ensure that law enforcement agencies (specifically the Nigerian Police Force, Economic and Financial Crimes Commission (EFCC) and the Independent and Corrupt Practices Commission (ICPC) are well-educated on procurement practices within the state. This should be facilitated through trainings and regular check-ins for briefings on updates as regards procurement practices and policies.</w:t>
      </w:r>
    </w:p>
    <w:p w14:paraId="3AFDFCA9" w14:textId="77777777" w:rsidR="00300C33" w:rsidRPr="00300C33" w:rsidRDefault="00300C33" w:rsidP="00300C33">
      <w:pPr>
        <w:jc w:val="both"/>
        <w:rPr>
          <w:rFonts w:ascii="Book Antiqua" w:hAnsi="Book Antiqua" w:cs="Times New Roman"/>
          <w:b/>
          <w:bCs/>
          <w:color w:val="1F3864" w:themeColor="accent1" w:themeShade="80"/>
          <w:sz w:val="24"/>
          <w:szCs w:val="24"/>
        </w:rPr>
      </w:pPr>
    </w:p>
    <w:p w14:paraId="7AECF611" w14:textId="105DF9FB" w:rsidR="00BA1CAA" w:rsidRPr="00300C33" w:rsidRDefault="00BA1CAA" w:rsidP="00BA1CAA">
      <w:pPr>
        <w:ind w:firstLine="720"/>
        <w:jc w:val="both"/>
        <w:rPr>
          <w:rFonts w:ascii="Book Antiqua" w:hAnsi="Book Antiqua" w:cs="Times New Roman"/>
          <w:b/>
          <w:bCs/>
          <w:i/>
          <w:iCs/>
          <w:color w:val="1F3864" w:themeColor="accent1" w:themeShade="80"/>
          <w:sz w:val="24"/>
          <w:szCs w:val="24"/>
        </w:rPr>
      </w:pPr>
      <w:r w:rsidRPr="00300C33">
        <w:rPr>
          <w:rFonts w:ascii="Book Antiqua" w:hAnsi="Book Antiqua" w:cs="Times New Roman"/>
          <w:b/>
          <w:bCs/>
          <w:i/>
          <w:iCs/>
          <w:color w:val="1F3864" w:themeColor="accent1" w:themeShade="80"/>
          <w:sz w:val="24"/>
          <w:szCs w:val="24"/>
        </w:rPr>
        <w:t>Gender Responsiveness</w:t>
      </w:r>
    </w:p>
    <w:p w14:paraId="68914389" w14:textId="7E698970" w:rsidR="00B82EE8" w:rsidRPr="001164CB" w:rsidRDefault="00B82EE8" w:rsidP="00D5121C">
      <w:pPr>
        <w:pStyle w:val="ListParagraph"/>
        <w:numPr>
          <w:ilvl w:val="0"/>
          <w:numId w:val="7"/>
        </w:numPr>
        <w:jc w:val="both"/>
        <w:rPr>
          <w:rFonts w:ascii="Book Antiqua" w:hAnsi="Book Antiqua" w:cs="Times New Roman"/>
          <w:bCs/>
          <w:color w:val="1F3864" w:themeColor="accent1" w:themeShade="80"/>
          <w:sz w:val="24"/>
          <w:szCs w:val="24"/>
        </w:rPr>
      </w:pPr>
      <w:r w:rsidRPr="001164CB">
        <w:rPr>
          <w:rFonts w:ascii="Book Antiqua" w:hAnsi="Book Antiqua" w:cs="Times New Roman"/>
          <w:bCs/>
          <w:color w:val="1F3864" w:themeColor="accent1" w:themeShade="80"/>
          <w:sz w:val="24"/>
          <w:szCs w:val="24"/>
        </w:rPr>
        <w:t>The agency needs to engage with procurement entities in Edo State in mainstreaming gender responsiveness into the procurement practices in their workplace. Specifically, the prioritization of budget items on procurement practices need to reflect equity to preclude the neglect of gender specific items</w:t>
      </w:r>
      <w:r w:rsidR="001164CB" w:rsidRPr="001164CB">
        <w:rPr>
          <w:rFonts w:ascii="Book Antiqua" w:hAnsi="Book Antiqua" w:cs="Times New Roman"/>
          <w:bCs/>
          <w:color w:val="1F3864" w:themeColor="accent1" w:themeShade="80"/>
          <w:sz w:val="24"/>
          <w:szCs w:val="24"/>
        </w:rPr>
        <w:t xml:space="preserve"> and services, especially in terms of health and capacity building should be prioritized. </w:t>
      </w:r>
      <w:r w:rsidRPr="001164CB">
        <w:rPr>
          <w:rFonts w:ascii="Book Antiqua" w:hAnsi="Book Antiqua" w:cs="Times New Roman"/>
          <w:bCs/>
          <w:color w:val="1F3864" w:themeColor="accent1" w:themeShade="80"/>
          <w:sz w:val="24"/>
          <w:szCs w:val="24"/>
        </w:rPr>
        <w:t xml:space="preserve"> </w:t>
      </w:r>
    </w:p>
    <w:p w14:paraId="5756833E" w14:textId="004BCBE2" w:rsidR="00DC02B0" w:rsidRPr="00BA1CAA" w:rsidRDefault="00DC02B0" w:rsidP="00D5121C">
      <w:pPr>
        <w:pStyle w:val="ListParagraph"/>
        <w:numPr>
          <w:ilvl w:val="0"/>
          <w:numId w:val="7"/>
        </w:numPr>
        <w:jc w:val="both"/>
        <w:rPr>
          <w:rFonts w:ascii="Book Antiqua" w:hAnsi="Book Antiqua" w:cs="Times New Roman"/>
          <w:b/>
          <w:bCs/>
          <w:color w:val="1F3864" w:themeColor="accent1" w:themeShade="80"/>
          <w:sz w:val="24"/>
          <w:szCs w:val="24"/>
        </w:rPr>
      </w:pPr>
      <w:r w:rsidRPr="00842A16">
        <w:rPr>
          <w:rFonts w:ascii="Book Antiqua" w:hAnsi="Book Antiqua" w:cs="Times New Roman"/>
          <w:color w:val="1F3864" w:themeColor="accent1" w:themeShade="80"/>
          <w:sz w:val="24"/>
          <w:szCs w:val="24"/>
        </w:rPr>
        <w:t xml:space="preserve">There is need </w:t>
      </w:r>
      <w:r w:rsidR="00821671" w:rsidRPr="00842A16">
        <w:rPr>
          <w:rFonts w:ascii="Book Antiqua" w:hAnsi="Book Antiqua" w:cs="Times New Roman"/>
          <w:color w:val="1F3864" w:themeColor="accent1" w:themeShade="80"/>
          <w:sz w:val="24"/>
          <w:szCs w:val="24"/>
        </w:rPr>
        <w:t>to</w:t>
      </w:r>
      <w:r w:rsidR="00EE0332" w:rsidRPr="00842A16">
        <w:rPr>
          <w:rFonts w:ascii="Book Antiqua" w:hAnsi="Book Antiqua" w:cs="Times New Roman"/>
          <w:color w:val="1F3864" w:themeColor="accent1" w:themeShade="80"/>
          <w:sz w:val="24"/>
          <w:szCs w:val="24"/>
        </w:rPr>
        <w:t xml:space="preserve"> create</w:t>
      </w:r>
      <w:r w:rsidR="000D2E03" w:rsidRPr="00842A16">
        <w:rPr>
          <w:rFonts w:ascii="Book Antiqua" w:hAnsi="Book Antiqua" w:cs="Times New Roman"/>
          <w:color w:val="1F3864" w:themeColor="accent1" w:themeShade="80"/>
          <w:sz w:val="24"/>
          <w:szCs w:val="24"/>
        </w:rPr>
        <w:t xml:space="preserve"> more gender sensitive provisions within the policy framework as applicable</w:t>
      </w:r>
      <w:r w:rsidR="004C24B7">
        <w:rPr>
          <w:rFonts w:ascii="Book Antiqua" w:hAnsi="Book Antiqua" w:cs="Times New Roman"/>
          <w:color w:val="1F3864" w:themeColor="accent1" w:themeShade="80"/>
          <w:sz w:val="24"/>
          <w:szCs w:val="24"/>
        </w:rPr>
        <w:t xml:space="preserve"> (The relevant sections in the law include </w:t>
      </w:r>
      <w:r w:rsidR="004C24B7" w:rsidRPr="00453C23">
        <w:rPr>
          <w:rFonts w:ascii="Book Antiqua" w:hAnsi="Book Antiqua" w:cs="Times New Roman"/>
          <w:b/>
          <w:bCs/>
          <w:color w:val="1F3864" w:themeColor="accent1" w:themeShade="80"/>
          <w:sz w:val="24"/>
          <w:szCs w:val="24"/>
        </w:rPr>
        <w:t>Sections 8 (5), 14 (2)</w:t>
      </w:r>
      <w:r w:rsidR="00516182" w:rsidRPr="00453C23">
        <w:rPr>
          <w:rFonts w:ascii="Book Antiqua" w:hAnsi="Book Antiqua" w:cs="Times New Roman"/>
          <w:b/>
          <w:bCs/>
          <w:color w:val="1F3864" w:themeColor="accent1" w:themeShade="80"/>
          <w:sz w:val="24"/>
          <w:szCs w:val="24"/>
        </w:rPr>
        <w:t xml:space="preserve"> (e)</w:t>
      </w:r>
      <w:r w:rsidR="004C24B7" w:rsidRPr="00453C23">
        <w:rPr>
          <w:rFonts w:ascii="Book Antiqua" w:hAnsi="Book Antiqua" w:cs="Times New Roman"/>
          <w:b/>
          <w:bCs/>
          <w:color w:val="1F3864" w:themeColor="accent1" w:themeShade="80"/>
          <w:sz w:val="24"/>
          <w:szCs w:val="24"/>
        </w:rPr>
        <w:t xml:space="preserve">, </w:t>
      </w:r>
      <w:r w:rsidR="00516182" w:rsidRPr="00516182">
        <w:rPr>
          <w:rFonts w:ascii="Book Antiqua" w:hAnsi="Book Antiqua" w:cs="Times New Roman"/>
          <w:b/>
          <w:bCs/>
          <w:color w:val="1F3864" w:themeColor="accent1" w:themeShade="80"/>
          <w:sz w:val="24"/>
          <w:szCs w:val="24"/>
        </w:rPr>
        <w:t>14 (3)</w:t>
      </w:r>
      <w:r w:rsidR="00516182">
        <w:rPr>
          <w:rFonts w:ascii="Book Antiqua" w:hAnsi="Book Antiqua" w:cs="Times New Roman"/>
          <w:b/>
          <w:bCs/>
          <w:color w:val="1F3864" w:themeColor="accent1" w:themeShade="80"/>
          <w:sz w:val="24"/>
          <w:szCs w:val="24"/>
        </w:rPr>
        <w:t xml:space="preserve">, 22, 45 (5) (b), 68 (1) (a), </w:t>
      </w:r>
      <w:r w:rsidR="00453C23">
        <w:rPr>
          <w:rFonts w:ascii="Book Antiqua" w:hAnsi="Book Antiqua" w:cs="Times New Roman"/>
          <w:b/>
          <w:bCs/>
          <w:color w:val="1F3864" w:themeColor="accent1" w:themeShade="80"/>
          <w:sz w:val="24"/>
          <w:szCs w:val="24"/>
        </w:rPr>
        <w:t xml:space="preserve">71 (6) (a) &amp; (b), 71 (9) (f) (g) &amp; (h), and 75 </w:t>
      </w:r>
      <w:r w:rsidR="00453C23">
        <w:rPr>
          <w:rFonts w:ascii="Book Antiqua" w:hAnsi="Book Antiqua" w:cs="Times New Roman"/>
          <w:b/>
          <w:bCs/>
          <w:color w:val="1F3864" w:themeColor="accent1" w:themeShade="80"/>
          <w:sz w:val="24"/>
          <w:szCs w:val="24"/>
        </w:rPr>
        <w:lastRenderedPageBreak/>
        <w:t>(under ‘Services)</w:t>
      </w:r>
      <w:r w:rsidR="00876549" w:rsidRPr="00842A16">
        <w:rPr>
          <w:rFonts w:ascii="Book Antiqua" w:hAnsi="Book Antiqua" w:cs="Times New Roman"/>
          <w:color w:val="1F3864" w:themeColor="accent1" w:themeShade="80"/>
          <w:sz w:val="24"/>
          <w:szCs w:val="24"/>
        </w:rPr>
        <w:t xml:space="preserve">. While the </w:t>
      </w:r>
      <w:r w:rsidR="00397DBB" w:rsidRPr="00842A16">
        <w:rPr>
          <w:rFonts w:ascii="Book Antiqua" w:hAnsi="Book Antiqua" w:cs="Times New Roman"/>
          <w:color w:val="1F3864" w:themeColor="accent1" w:themeShade="80"/>
          <w:sz w:val="24"/>
          <w:szCs w:val="24"/>
        </w:rPr>
        <w:t>organization has a practice of encouraging participation by women-owned small and medium scale enterprises in bidding processes, it is important to incorporate this into the policy framework</w:t>
      </w:r>
      <w:r w:rsidR="002A3513" w:rsidRPr="00842A16">
        <w:rPr>
          <w:rFonts w:ascii="Book Antiqua" w:hAnsi="Book Antiqua" w:cs="Times New Roman"/>
          <w:color w:val="1F3864" w:themeColor="accent1" w:themeShade="80"/>
          <w:sz w:val="24"/>
          <w:szCs w:val="24"/>
        </w:rPr>
        <w:t>, albeit without compromising the requirements of good practices</w:t>
      </w:r>
    </w:p>
    <w:p w14:paraId="2BDE1A3B" w14:textId="77777777" w:rsidR="00300C33" w:rsidRDefault="00300C33" w:rsidP="00BA1CAA">
      <w:pPr>
        <w:ind w:firstLine="720"/>
        <w:jc w:val="both"/>
        <w:rPr>
          <w:rFonts w:ascii="Book Antiqua" w:hAnsi="Book Antiqua" w:cs="Times New Roman"/>
          <w:b/>
          <w:bCs/>
          <w:i/>
          <w:iCs/>
          <w:color w:val="1F3864" w:themeColor="accent1" w:themeShade="80"/>
          <w:sz w:val="24"/>
          <w:szCs w:val="24"/>
        </w:rPr>
      </w:pPr>
    </w:p>
    <w:p w14:paraId="76D94B54" w14:textId="58C8D69D" w:rsidR="00BA1CAA" w:rsidRPr="00300C33" w:rsidRDefault="00BA1CAA" w:rsidP="00BA1CAA">
      <w:pPr>
        <w:ind w:firstLine="720"/>
        <w:jc w:val="both"/>
        <w:rPr>
          <w:rFonts w:ascii="Book Antiqua" w:hAnsi="Book Antiqua" w:cs="Times New Roman"/>
          <w:b/>
          <w:bCs/>
          <w:i/>
          <w:iCs/>
          <w:color w:val="1F3864" w:themeColor="accent1" w:themeShade="80"/>
          <w:sz w:val="24"/>
          <w:szCs w:val="24"/>
        </w:rPr>
      </w:pPr>
      <w:r w:rsidRPr="00300C33">
        <w:rPr>
          <w:rFonts w:ascii="Book Antiqua" w:hAnsi="Book Antiqua" w:cs="Times New Roman"/>
          <w:b/>
          <w:bCs/>
          <w:i/>
          <w:iCs/>
          <w:color w:val="1F3864" w:themeColor="accent1" w:themeShade="80"/>
          <w:sz w:val="24"/>
          <w:szCs w:val="24"/>
        </w:rPr>
        <w:t>Improved monitoring and oversight on Anti-corruption</w:t>
      </w:r>
    </w:p>
    <w:p w14:paraId="20406627" w14:textId="364F809B" w:rsidR="00B82EE8" w:rsidRPr="00B82EE8" w:rsidRDefault="00B82EE8" w:rsidP="00DA41A5">
      <w:pPr>
        <w:pStyle w:val="ListParagraph"/>
        <w:numPr>
          <w:ilvl w:val="0"/>
          <w:numId w:val="7"/>
        </w:numPr>
        <w:jc w:val="both"/>
        <w:rPr>
          <w:rFonts w:ascii="Book Antiqua" w:hAnsi="Book Antiqua" w:cs="Times New Roman"/>
          <w:b/>
          <w:bCs/>
          <w:color w:val="1F3864" w:themeColor="accent1" w:themeShade="80"/>
          <w:sz w:val="24"/>
          <w:szCs w:val="24"/>
        </w:rPr>
      </w:pPr>
      <w:r>
        <w:rPr>
          <w:rFonts w:ascii="Book Antiqua" w:hAnsi="Book Antiqua" w:cs="Times New Roman"/>
          <w:bCs/>
          <w:color w:val="1F3864" w:themeColor="accent1" w:themeShade="80"/>
          <w:sz w:val="24"/>
          <w:szCs w:val="24"/>
        </w:rPr>
        <w:t>There is need to incorporate business intelligence and red flag monitoring tools to procurement practices in the state in order to effectively prevent and monitor corrupt practices within procurement procedures in the state</w:t>
      </w:r>
    </w:p>
    <w:p w14:paraId="49E1A335" w14:textId="55575FD2" w:rsidR="00DA41A5" w:rsidRPr="00842A16" w:rsidRDefault="007352AB" w:rsidP="00DA41A5">
      <w:pPr>
        <w:pStyle w:val="ListParagraph"/>
        <w:numPr>
          <w:ilvl w:val="0"/>
          <w:numId w:val="7"/>
        </w:numPr>
        <w:jc w:val="both"/>
        <w:rPr>
          <w:rFonts w:ascii="Book Antiqua" w:hAnsi="Book Antiqua" w:cs="Times New Roman"/>
          <w:b/>
          <w:bCs/>
          <w:color w:val="1F3864" w:themeColor="accent1" w:themeShade="80"/>
          <w:sz w:val="24"/>
          <w:szCs w:val="24"/>
        </w:rPr>
      </w:pPr>
      <w:r w:rsidRPr="00842A16">
        <w:rPr>
          <w:rFonts w:ascii="Book Antiqua" w:hAnsi="Book Antiqua" w:cs="Times New Roman"/>
          <w:color w:val="1F3864" w:themeColor="accent1" w:themeShade="80"/>
          <w:sz w:val="24"/>
          <w:szCs w:val="24"/>
        </w:rPr>
        <w:t xml:space="preserve">There is need to </w:t>
      </w:r>
      <w:r w:rsidR="00BB543B" w:rsidRPr="00842A16">
        <w:rPr>
          <w:rFonts w:ascii="Book Antiqua" w:hAnsi="Book Antiqua" w:cs="Times New Roman"/>
          <w:color w:val="1F3864" w:themeColor="accent1" w:themeShade="80"/>
          <w:sz w:val="24"/>
          <w:szCs w:val="24"/>
        </w:rPr>
        <w:t xml:space="preserve">for a better remuneration for the procurement cadre to </w:t>
      </w:r>
      <w:r w:rsidR="00DA41A5" w:rsidRPr="00842A16">
        <w:rPr>
          <w:rFonts w:ascii="Book Antiqua" w:hAnsi="Book Antiqua" w:cs="Times New Roman"/>
          <w:color w:val="1F3864" w:themeColor="accent1" w:themeShade="80"/>
          <w:sz w:val="24"/>
          <w:szCs w:val="24"/>
        </w:rPr>
        <w:t xml:space="preserve">enhance the practice of integrity among staff of the </w:t>
      </w:r>
      <w:r w:rsidR="002A3513" w:rsidRPr="00842A16">
        <w:rPr>
          <w:rFonts w:ascii="Book Antiqua" w:hAnsi="Book Antiqua" w:cs="Times New Roman"/>
          <w:color w:val="1F3864" w:themeColor="accent1" w:themeShade="80"/>
          <w:sz w:val="24"/>
          <w:szCs w:val="24"/>
        </w:rPr>
        <w:t xml:space="preserve">Edo State Public Procurement Agency. This is in line with previous efforts at upscaling the income of enforcement officers to enable them carry out their roles effectively. </w:t>
      </w:r>
      <w:r w:rsidR="006531CA" w:rsidRPr="00842A16">
        <w:rPr>
          <w:rFonts w:ascii="Book Antiqua" w:hAnsi="Book Antiqua" w:cs="Times New Roman"/>
          <w:color w:val="1F3864" w:themeColor="accent1" w:themeShade="80"/>
          <w:sz w:val="24"/>
          <w:szCs w:val="24"/>
        </w:rPr>
        <w:t>This, where possible, should be corroborated with some level of independence from the state civil service in line with good practices.</w:t>
      </w:r>
    </w:p>
    <w:p w14:paraId="22941E9D" w14:textId="02A11112" w:rsidR="00DA41A5" w:rsidRPr="00300C33" w:rsidRDefault="00DA41A5" w:rsidP="00DA41A5">
      <w:pPr>
        <w:pStyle w:val="ListParagraph"/>
        <w:numPr>
          <w:ilvl w:val="0"/>
          <w:numId w:val="7"/>
        </w:numPr>
        <w:jc w:val="both"/>
        <w:rPr>
          <w:rFonts w:ascii="Book Antiqua" w:hAnsi="Book Antiqua" w:cs="Times New Roman"/>
          <w:b/>
          <w:bCs/>
          <w:color w:val="1F3864" w:themeColor="accent1" w:themeShade="80"/>
          <w:sz w:val="24"/>
          <w:szCs w:val="24"/>
        </w:rPr>
      </w:pPr>
      <w:r w:rsidRPr="00842A16">
        <w:rPr>
          <w:rFonts w:ascii="Book Antiqua" w:hAnsi="Book Antiqua" w:cs="Times New Roman"/>
          <w:color w:val="1F3864" w:themeColor="accent1" w:themeShade="80"/>
          <w:sz w:val="24"/>
          <w:szCs w:val="24"/>
        </w:rPr>
        <w:t>There is need for a collaboration between the agency and the University of Benin on the training of its staff and those of procurement units of MDAs in Edo State to enhance their capacity</w:t>
      </w:r>
      <w:r w:rsidR="00397DBB" w:rsidRPr="00842A16">
        <w:rPr>
          <w:rFonts w:ascii="Book Antiqua" w:hAnsi="Book Antiqua" w:cs="Times New Roman"/>
          <w:color w:val="1F3864" w:themeColor="accent1" w:themeShade="80"/>
          <w:sz w:val="24"/>
          <w:szCs w:val="24"/>
        </w:rPr>
        <w:t>.</w:t>
      </w:r>
      <w:r w:rsidR="002A3513" w:rsidRPr="00842A16">
        <w:rPr>
          <w:rFonts w:ascii="Book Antiqua" w:hAnsi="Book Antiqua" w:cs="Times New Roman"/>
          <w:color w:val="1F3864" w:themeColor="accent1" w:themeShade="80"/>
          <w:sz w:val="24"/>
          <w:szCs w:val="24"/>
        </w:rPr>
        <w:t xml:space="preserve"> As part of the current regional initiative of the World Bank in building capacities in the field of procurement across the country, the university and the agency could </w:t>
      </w:r>
      <w:r w:rsidR="00763217">
        <w:rPr>
          <w:rFonts w:ascii="Book Antiqua" w:hAnsi="Book Antiqua" w:cs="Times New Roman"/>
          <w:color w:val="1F3864" w:themeColor="accent1" w:themeShade="80"/>
          <w:sz w:val="24"/>
          <w:szCs w:val="24"/>
        </w:rPr>
        <w:t>further strengthen the already existing</w:t>
      </w:r>
      <w:r w:rsidR="002A3513" w:rsidRPr="00842A16">
        <w:rPr>
          <w:rFonts w:ascii="Book Antiqua" w:hAnsi="Book Antiqua" w:cs="Times New Roman"/>
          <w:color w:val="1F3864" w:themeColor="accent1" w:themeShade="80"/>
          <w:sz w:val="24"/>
          <w:szCs w:val="24"/>
        </w:rPr>
        <w:t xml:space="preserve"> mutual partnerships of developing a context-based standard curriculum and structured scheme for training stakeholders on procurement.</w:t>
      </w:r>
    </w:p>
    <w:p w14:paraId="78188586" w14:textId="77777777" w:rsidR="00300C33" w:rsidRPr="00300C33" w:rsidRDefault="00300C33" w:rsidP="00300C33">
      <w:pPr>
        <w:jc w:val="both"/>
        <w:rPr>
          <w:rFonts w:ascii="Book Antiqua" w:hAnsi="Book Antiqua" w:cs="Times New Roman"/>
          <w:b/>
          <w:bCs/>
          <w:color w:val="1F3864" w:themeColor="accent1" w:themeShade="80"/>
          <w:sz w:val="24"/>
          <w:szCs w:val="24"/>
        </w:rPr>
      </w:pPr>
    </w:p>
    <w:p w14:paraId="6EC06F0D" w14:textId="445B91F3" w:rsidR="00BA1CAA" w:rsidRPr="00300C33" w:rsidRDefault="00300C33" w:rsidP="00300C33">
      <w:pPr>
        <w:ind w:left="720"/>
        <w:jc w:val="both"/>
        <w:rPr>
          <w:rFonts w:ascii="Book Antiqua" w:hAnsi="Book Antiqua" w:cs="Times New Roman"/>
          <w:b/>
          <w:bCs/>
          <w:i/>
          <w:iCs/>
          <w:color w:val="1F3864" w:themeColor="accent1" w:themeShade="80"/>
          <w:sz w:val="24"/>
          <w:szCs w:val="24"/>
        </w:rPr>
      </w:pPr>
      <w:r w:rsidRPr="00300C33">
        <w:rPr>
          <w:rFonts w:ascii="Book Antiqua" w:hAnsi="Book Antiqua" w:cs="Times New Roman"/>
          <w:b/>
          <w:bCs/>
          <w:i/>
          <w:iCs/>
          <w:color w:val="1F3864" w:themeColor="accent1" w:themeShade="80"/>
          <w:sz w:val="24"/>
          <w:szCs w:val="24"/>
        </w:rPr>
        <w:t>Catalyzed data use for advocacy, monitoring and feedback mechanisms by non-state actors</w:t>
      </w:r>
    </w:p>
    <w:p w14:paraId="2305865D" w14:textId="30A5ED67" w:rsidR="00B82EE8" w:rsidRPr="00B82EE8" w:rsidRDefault="00B82EE8" w:rsidP="003A254A">
      <w:pPr>
        <w:pStyle w:val="ListParagraph"/>
        <w:numPr>
          <w:ilvl w:val="0"/>
          <w:numId w:val="7"/>
        </w:numPr>
        <w:jc w:val="both"/>
        <w:rPr>
          <w:rFonts w:ascii="Book Antiqua" w:eastAsia="Calibri" w:hAnsi="Book Antiqua" w:cs="Times New Roman"/>
          <w:b/>
          <w:color w:val="1F3864" w:themeColor="accent1" w:themeShade="80"/>
          <w:sz w:val="24"/>
          <w:szCs w:val="24"/>
        </w:rPr>
      </w:pPr>
      <w:r>
        <w:rPr>
          <w:rFonts w:ascii="Book Antiqua" w:eastAsia="Calibri" w:hAnsi="Book Antiqua" w:cs="Times New Roman"/>
          <w:color w:val="1F3864" w:themeColor="accent1" w:themeShade="80"/>
          <w:sz w:val="24"/>
          <w:szCs w:val="24"/>
        </w:rPr>
        <w:t>There is need to scale-up data accessibility to the public through regular updates of procurement-related platforms and regular engagements through the social media platforms</w:t>
      </w:r>
    </w:p>
    <w:p w14:paraId="0A9D1191" w14:textId="2CB3F367" w:rsidR="00876549" w:rsidRPr="00842A16" w:rsidRDefault="00DA41A5" w:rsidP="003A254A">
      <w:pPr>
        <w:pStyle w:val="ListParagraph"/>
        <w:numPr>
          <w:ilvl w:val="0"/>
          <w:numId w:val="7"/>
        </w:numPr>
        <w:jc w:val="both"/>
        <w:rPr>
          <w:rFonts w:ascii="Book Antiqua" w:eastAsia="Calibri" w:hAnsi="Book Antiqua" w:cs="Times New Roman"/>
          <w:b/>
          <w:color w:val="1F3864" w:themeColor="accent1" w:themeShade="80"/>
          <w:sz w:val="24"/>
          <w:szCs w:val="24"/>
        </w:rPr>
      </w:pPr>
      <w:r w:rsidRPr="00842A16">
        <w:rPr>
          <w:rFonts w:ascii="Book Antiqua" w:hAnsi="Book Antiqua" w:cs="Times New Roman"/>
          <w:color w:val="1F3864" w:themeColor="accent1" w:themeShade="80"/>
          <w:sz w:val="24"/>
          <w:szCs w:val="24"/>
        </w:rPr>
        <w:t xml:space="preserve">There is need for a </w:t>
      </w:r>
      <w:r w:rsidR="00876549" w:rsidRPr="00842A16">
        <w:rPr>
          <w:rFonts w:ascii="Book Antiqua" w:hAnsi="Book Antiqua" w:cs="Times New Roman"/>
          <w:color w:val="1F3864" w:themeColor="accent1" w:themeShade="80"/>
          <w:sz w:val="24"/>
          <w:szCs w:val="24"/>
        </w:rPr>
        <w:t>c</w:t>
      </w:r>
      <w:r w:rsidR="00985798" w:rsidRPr="00842A16">
        <w:rPr>
          <w:rFonts w:ascii="Book Antiqua" w:hAnsi="Book Antiqua" w:cs="Times New Roman"/>
          <w:color w:val="1F3864" w:themeColor="accent1" w:themeShade="80"/>
          <w:sz w:val="24"/>
          <w:szCs w:val="24"/>
        </w:rPr>
        <w:t xml:space="preserve">ommunication </w:t>
      </w:r>
      <w:r w:rsidR="00876549" w:rsidRPr="00842A16">
        <w:rPr>
          <w:rFonts w:ascii="Book Antiqua" w:hAnsi="Book Antiqua" w:cs="Times New Roman"/>
          <w:color w:val="1F3864" w:themeColor="accent1" w:themeShade="80"/>
          <w:sz w:val="24"/>
          <w:szCs w:val="24"/>
        </w:rPr>
        <w:t>s</w:t>
      </w:r>
      <w:r w:rsidR="00985798" w:rsidRPr="00842A16">
        <w:rPr>
          <w:rFonts w:ascii="Book Antiqua" w:hAnsi="Book Antiqua" w:cs="Times New Roman"/>
          <w:color w:val="1F3864" w:themeColor="accent1" w:themeShade="80"/>
          <w:sz w:val="24"/>
          <w:szCs w:val="24"/>
        </w:rPr>
        <w:t>trategy</w:t>
      </w:r>
      <w:r w:rsidR="00876549" w:rsidRPr="00842A16">
        <w:rPr>
          <w:rFonts w:ascii="Book Antiqua" w:hAnsi="Book Antiqua" w:cs="Times New Roman"/>
          <w:color w:val="1F3864" w:themeColor="accent1" w:themeShade="80"/>
          <w:sz w:val="24"/>
          <w:szCs w:val="24"/>
        </w:rPr>
        <w:t xml:space="preserve"> in line with the </w:t>
      </w:r>
      <w:r w:rsidR="00876549" w:rsidRPr="00842A16">
        <w:rPr>
          <w:rFonts w:ascii="Book Antiqua" w:hAnsi="Book Antiqua" w:cs="Times New Roman"/>
          <w:b/>
          <w:bCs/>
          <w:color w:val="1F3864" w:themeColor="accent1" w:themeShade="80"/>
          <w:sz w:val="24"/>
          <w:szCs w:val="24"/>
        </w:rPr>
        <w:t xml:space="preserve">Section </w:t>
      </w:r>
      <w:r w:rsidR="00985798" w:rsidRPr="00842A16">
        <w:rPr>
          <w:rFonts w:ascii="Book Antiqua" w:hAnsi="Book Antiqua" w:cs="Times New Roman"/>
          <w:b/>
          <w:bCs/>
          <w:color w:val="1F3864" w:themeColor="accent1" w:themeShade="80"/>
          <w:sz w:val="24"/>
          <w:szCs w:val="24"/>
        </w:rPr>
        <w:t>10 1(c)</w:t>
      </w:r>
      <w:r w:rsidR="00876549" w:rsidRPr="00842A16">
        <w:rPr>
          <w:rFonts w:ascii="Book Antiqua" w:hAnsi="Book Antiqua" w:cs="Times New Roman"/>
          <w:b/>
          <w:bCs/>
          <w:color w:val="1F3864" w:themeColor="accent1" w:themeShade="80"/>
          <w:sz w:val="24"/>
          <w:szCs w:val="24"/>
        </w:rPr>
        <w:t xml:space="preserve"> </w:t>
      </w:r>
      <w:r w:rsidR="00876549" w:rsidRPr="00842A16">
        <w:rPr>
          <w:rFonts w:ascii="Book Antiqua" w:hAnsi="Book Antiqua" w:cs="Times New Roman"/>
          <w:color w:val="1F3864" w:themeColor="accent1" w:themeShade="80"/>
          <w:sz w:val="24"/>
          <w:szCs w:val="24"/>
        </w:rPr>
        <w:t xml:space="preserve">of the </w:t>
      </w:r>
      <w:r w:rsidR="00876549" w:rsidRPr="00842A16">
        <w:rPr>
          <w:rFonts w:ascii="Book Antiqua" w:eastAsia="Calibri" w:hAnsi="Book Antiqua" w:cs="Times New Roman"/>
          <w:bCs/>
          <w:color w:val="1F3864" w:themeColor="accent1" w:themeShade="80"/>
          <w:sz w:val="24"/>
          <w:szCs w:val="24"/>
        </w:rPr>
        <w:t>Public Procurement (Repeal and Re-enactment) Law 2020, as there is need to give visibility to the work of the agency among relevant stakeholders</w:t>
      </w:r>
      <w:r w:rsidR="00966767" w:rsidRPr="00842A16">
        <w:rPr>
          <w:rFonts w:ascii="Book Antiqua" w:hAnsi="Book Antiqua" w:cs="Times New Roman"/>
          <w:color w:val="1F3864" w:themeColor="accent1" w:themeShade="80"/>
          <w:sz w:val="24"/>
          <w:szCs w:val="24"/>
        </w:rPr>
        <w:t>. It is important that users are better able to navigate the portals of the agency to facilitate their participation in the state’s e-procurement processes</w:t>
      </w:r>
    </w:p>
    <w:p w14:paraId="555A1F3C" w14:textId="77777777" w:rsidR="003F1825" w:rsidRPr="00842A16" w:rsidRDefault="003F1825" w:rsidP="003A254A">
      <w:pPr>
        <w:jc w:val="both"/>
        <w:rPr>
          <w:rFonts w:ascii="Book Antiqua" w:eastAsia="Calibri" w:hAnsi="Book Antiqua" w:cs="Times New Roman"/>
          <w:b/>
          <w:color w:val="1F3864" w:themeColor="accent1" w:themeShade="80"/>
          <w:sz w:val="24"/>
          <w:szCs w:val="24"/>
        </w:rPr>
      </w:pPr>
    </w:p>
    <w:p w14:paraId="7A7EF910" w14:textId="3EFB9A45" w:rsidR="003A254A" w:rsidRPr="00842A16" w:rsidRDefault="003A254A" w:rsidP="00B2295B">
      <w:pPr>
        <w:jc w:val="center"/>
        <w:rPr>
          <w:rFonts w:ascii="Book Antiqua" w:eastAsia="Calibri" w:hAnsi="Book Antiqua" w:cs="Times New Roman"/>
          <w:b/>
          <w:color w:val="1F3864" w:themeColor="accent1" w:themeShade="80"/>
          <w:sz w:val="24"/>
          <w:szCs w:val="24"/>
        </w:rPr>
      </w:pPr>
      <w:bookmarkStart w:id="13" w:name="_Hlk113891249"/>
      <w:r w:rsidRPr="00842A16">
        <w:rPr>
          <w:rFonts w:ascii="Book Antiqua" w:eastAsia="Calibri" w:hAnsi="Book Antiqua" w:cs="Times New Roman"/>
          <w:b/>
          <w:color w:val="1F3864" w:themeColor="accent1" w:themeShade="80"/>
          <w:sz w:val="24"/>
          <w:szCs w:val="24"/>
        </w:rPr>
        <w:t>References:</w:t>
      </w:r>
    </w:p>
    <w:bookmarkEnd w:id="13"/>
    <w:p w14:paraId="1130D3A7" w14:textId="77777777" w:rsidR="00EF1F26" w:rsidRPr="00842A16" w:rsidRDefault="00EF1F26" w:rsidP="00EF1F26">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lastRenderedPageBreak/>
        <w:t>Edo State Public Procurement (Repeal and Re-enactment) Law 2020</w:t>
      </w:r>
    </w:p>
    <w:p w14:paraId="274C1D90" w14:textId="140F890C" w:rsidR="00130924" w:rsidRPr="00842A16" w:rsidRDefault="00130924" w:rsidP="003A254A">
      <w:pPr>
        <w:jc w:val="both"/>
        <w:rPr>
          <w:rFonts w:ascii="Book Antiqua" w:eastAsia="Calibri" w:hAnsi="Book Antiqua" w:cs="Times New Roman"/>
          <w:bCs/>
          <w:color w:val="1F3864" w:themeColor="accent1" w:themeShade="80"/>
          <w:sz w:val="24"/>
          <w:szCs w:val="24"/>
        </w:rPr>
      </w:pPr>
      <w:r w:rsidRPr="00842A16">
        <w:rPr>
          <w:rFonts w:ascii="Book Antiqua" w:eastAsia="Calibri" w:hAnsi="Book Antiqua" w:cs="Times New Roman"/>
          <w:bCs/>
          <w:color w:val="1F3864" w:themeColor="accent1" w:themeShade="80"/>
          <w:sz w:val="24"/>
          <w:szCs w:val="24"/>
        </w:rPr>
        <w:t>Edo State Procurement Procedures Manual</w:t>
      </w:r>
    </w:p>
    <w:p w14:paraId="39B352B9" w14:textId="77777777" w:rsidR="00130924" w:rsidRPr="00842A16" w:rsidRDefault="00130924" w:rsidP="003A254A">
      <w:pPr>
        <w:jc w:val="both"/>
        <w:rPr>
          <w:rFonts w:ascii="Book Antiqua" w:eastAsia="Calibri" w:hAnsi="Book Antiqua" w:cs="Times New Roman"/>
          <w:bCs/>
          <w:color w:val="1F3864" w:themeColor="accent1" w:themeShade="80"/>
          <w:sz w:val="24"/>
          <w:szCs w:val="24"/>
          <w:lang w:val="en-GB"/>
        </w:rPr>
      </w:pPr>
      <w:r w:rsidRPr="00842A16">
        <w:rPr>
          <w:rFonts w:ascii="Book Antiqua" w:eastAsia="Calibri" w:hAnsi="Book Antiqua" w:cs="Times New Roman"/>
          <w:bCs/>
          <w:color w:val="1F3864" w:themeColor="accent1" w:themeShade="80"/>
          <w:sz w:val="24"/>
          <w:szCs w:val="24"/>
        </w:rPr>
        <w:t xml:space="preserve">Edo State </w:t>
      </w:r>
      <w:r w:rsidRPr="00842A16">
        <w:rPr>
          <w:rFonts w:ascii="Book Antiqua" w:eastAsia="Calibri" w:hAnsi="Book Antiqua" w:cs="Times New Roman"/>
          <w:bCs/>
          <w:color w:val="1F3864" w:themeColor="accent1" w:themeShade="80"/>
          <w:sz w:val="24"/>
          <w:szCs w:val="24"/>
          <w:lang w:val="en-GB"/>
        </w:rPr>
        <w:t>Open Contracting Data Standard (OCDS) Publication Policy</w:t>
      </w:r>
    </w:p>
    <w:p w14:paraId="6AEA7EA8" w14:textId="77777777" w:rsidR="00130924" w:rsidRPr="00842A16" w:rsidRDefault="00130924" w:rsidP="003A254A">
      <w:pPr>
        <w:jc w:val="both"/>
        <w:rPr>
          <w:rFonts w:ascii="Book Antiqua" w:eastAsia="Calibri" w:hAnsi="Book Antiqua" w:cs="Times New Roman"/>
          <w:bCs/>
          <w:color w:val="1F3864" w:themeColor="accent1" w:themeShade="80"/>
          <w:sz w:val="24"/>
          <w:szCs w:val="24"/>
          <w:lang w:val="en-GB"/>
        </w:rPr>
      </w:pPr>
      <w:r w:rsidRPr="00842A16">
        <w:rPr>
          <w:rFonts w:ascii="Book Antiqua" w:eastAsia="Calibri" w:hAnsi="Book Antiqua" w:cs="Times New Roman"/>
          <w:bCs/>
          <w:color w:val="1F3864" w:themeColor="accent1" w:themeShade="80"/>
          <w:sz w:val="24"/>
          <w:szCs w:val="24"/>
          <w:lang w:val="en-GB"/>
        </w:rPr>
        <w:t>Edo State Monetary Thresholds</w:t>
      </w:r>
    </w:p>
    <w:p w14:paraId="37DA0825" w14:textId="77777777" w:rsidR="00130924" w:rsidRPr="00842A16" w:rsidRDefault="00130924" w:rsidP="003A254A">
      <w:pPr>
        <w:jc w:val="both"/>
        <w:rPr>
          <w:rFonts w:ascii="Book Antiqua" w:eastAsia="Calibri" w:hAnsi="Book Antiqua" w:cs="Times New Roman"/>
          <w:bCs/>
          <w:color w:val="1F3864" w:themeColor="accent1" w:themeShade="80"/>
          <w:sz w:val="24"/>
          <w:szCs w:val="24"/>
          <w:lang w:val="en-GB"/>
        </w:rPr>
      </w:pPr>
      <w:r w:rsidRPr="00842A16">
        <w:rPr>
          <w:rFonts w:ascii="Book Antiqua" w:eastAsia="Calibri" w:hAnsi="Book Antiqua" w:cs="Times New Roman"/>
          <w:bCs/>
          <w:color w:val="1F3864" w:themeColor="accent1" w:themeShade="80"/>
          <w:sz w:val="24"/>
          <w:szCs w:val="24"/>
          <w:lang w:val="en-GB"/>
        </w:rPr>
        <w:t>Edo State Standard Bidding Document for the Procurement of Civil Works</w:t>
      </w:r>
    </w:p>
    <w:p w14:paraId="27DD4D39" w14:textId="77777777" w:rsidR="00130924" w:rsidRPr="00842A16" w:rsidRDefault="00130924" w:rsidP="003A254A">
      <w:pPr>
        <w:jc w:val="both"/>
        <w:rPr>
          <w:rFonts w:ascii="Book Antiqua" w:eastAsia="Calibri" w:hAnsi="Book Antiqua" w:cs="Times New Roman"/>
          <w:bCs/>
          <w:color w:val="1F3864" w:themeColor="accent1" w:themeShade="80"/>
          <w:sz w:val="24"/>
          <w:szCs w:val="24"/>
          <w:lang w:val="en-GB"/>
        </w:rPr>
      </w:pPr>
      <w:r w:rsidRPr="00842A16">
        <w:rPr>
          <w:rFonts w:ascii="Book Antiqua" w:eastAsia="Calibri" w:hAnsi="Book Antiqua" w:cs="Times New Roman"/>
          <w:bCs/>
          <w:color w:val="1F3864" w:themeColor="accent1" w:themeShade="80"/>
          <w:sz w:val="24"/>
          <w:szCs w:val="24"/>
          <w:lang w:val="en-GB"/>
        </w:rPr>
        <w:t>Edo State Standard Bidding Document for the Procurement of Goods</w:t>
      </w:r>
    </w:p>
    <w:p w14:paraId="23A8FD97" w14:textId="1F97B57A" w:rsidR="00130924" w:rsidRPr="00842A16" w:rsidRDefault="00130924" w:rsidP="003A254A">
      <w:pPr>
        <w:jc w:val="both"/>
        <w:rPr>
          <w:rFonts w:ascii="Book Antiqua" w:eastAsia="Calibri" w:hAnsi="Book Antiqua" w:cs="Times New Roman"/>
          <w:color w:val="1F3864" w:themeColor="accent1" w:themeShade="80"/>
          <w:sz w:val="24"/>
          <w:szCs w:val="24"/>
        </w:rPr>
      </w:pPr>
      <w:r w:rsidRPr="00842A16">
        <w:rPr>
          <w:rFonts w:ascii="Book Antiqua" w:eastAsia="Calibri" w:hAnsi="Book Antiqua" w:cs="Times New Roman"/>
          <w:bCs/>
          <w:color w:val="1F3864" w:themeColor="accent1" w:themeShade="80"/>
          <w:sz w:val="24"/>
          <w:szCs w:val="24"/>
          <w:lang w:val="en-GB"/>
        </w:rPr>
        <w:t>Edo State Standard Request for Proposals for the selection of consultants</w:t>
      </w:r>
    </w:p>
    <w:p w14:paraId="7425C4E8" w14:textId="4AEA9027" w:rsidR="003A254A" w:rsidRPr="00842A16" w:rsidRDefault="003A254A" w:rsidP="003A254A">
      <w:pPr>
        <w:jc w:val="both"/>
        <w:rPr>
          <w:rFonts w:ascii="Book Antiqua" w:eastAsia="Calibri" w:hAnsi="Book Antiqua" w:cs="Times New Roman"/>
          <w:color w:val="1F3864" w:themeColor="accent1" w:themeShade="80"/>
          <w:sz w:val="24"/>
          <w:szCs w:val="24"/>
        </w:rPr>
      </w:pPr>
      <w:r w:rsidRPr="00842A16">
        <w:rPr>
          <w:rFonts w:ascii="Book Antiqua" w:eastAsia="Calibri" w:hAnsi="Book Antiqua" w:cs="Times New Roman"/>
          <w:color w:val="1F3864" w:themeColor="accent1" w:themeShade="80"/>
          <w:sz w:val="24"/>
          <w:szCs w:val="24"/>
        </w:rPr>
        <w:t xml:space="preserve">OECD. 2014. </w:t>
      </w:r>
      <w:r w:rsidRPr="00842A16">
        <w:rPr>
          <w:rFonts w:ascii="Book Antiqua" w:eastAsia="Calibri" w:hAnsi="Book Antiqua" w:cs="Times New Roman"/>
          <w:i/>
          <w:color w:val="1F3864" w:themeColor="accent1" w:themeShade="80"/>
          <w:sz w:val="24"/>
          <w:szCs w:val="24"/>
        </w:rPr>
        <w:t xml:space="preserve">Compendium of Good Practices for Integrity in Public Procurement. </w:t>
      </w:r>
      <w:r w:rsidRPr="00842A16">
        <w:rPr>
          <w:rFonts w:ascii="Book Antiqua" w:eastAsia="Calibri" w:hAnsi="Book Antiqua" w:cs="Times New Roman"/>
          <w:color w:val="1F3864" w:themeColor="accent1" w:themeShade="80"/>
          <w:sz w:val="24"/>
          <w:szCs w:val="24"/>
        </w:rPr>
        <w:t>Paris: OECD</w:t>
      </w:r>
    </w:p>
    <w:p w14:paraId="68000046" w14:textId="77777777" w:rsidR="003A254A" w:rsidRPr="00842A16" w:rsidRDefault="003A254A" w:rsidP="003A254A">
      <w:pPr>
        <w:jc w:val="both"/>
        <w:rPr>
          <w:rFonts w:ascii="Book Antiqua" w:eastAsia="Calibri" w:hAnsi="Book Antiqua" w:cs="Times New Roman"/>
          <w:b/>
          <w:bCs/>
          <w:color w:val="1F3864" w:themeColor="accent1" w:themeShade="80"/>
          <w:sz w:val="24"/>
          <w:szCs w:val="24"/>
        </w:rPr>
      </w:pPr>
      <w:proofErr w:type="spellStart"/>
      <w:r w:rsidRPr="00842A16">
        <w:rPr>
          <w:rFonts w:ascii="Book Antiqua" w:eastAsia="Calibri" w:hAnsi="Book Antiqua" w:cs="Times New Roman"/>
          <w:color w:val="1F3864" w:themeColor="accent1" w:themeShade="80"/>
          <w:sz w:val="24"/>
          <w:szCs w:val="24"/>
        </w:rPr>
        <w:t>Kwen</w:t>
      </w:r>
      <w:proofErr w:type="spellEnd"/>
      <w:r w:rsidRPr="00842A16">
        <w:rPr>
          <w:rFonts w:ascii="Book Antiqua" w:eastAsia="Calibri" w:hAnsi="Book Antiqua" w:cs="Times New Roman"/>
          <w:color w:val="1F3864" w:themeColor="accent1" w:themeShade="80"/>
          <w:sz w:val="24"/>
          <w:szCs w:val="24"/>
        </w:rPr>
        <w:t xml:space="preserve">, James. 2020. </w:t>
      </w:r>
      <w:r w:rsidRPr="00842A16">
        <w:rPr>
          <w:rFonts w:ascii="Book Antiqua" w:eastAsia="Calibri" w:hAnsi="Book Antiqua" w:cs="Times New Roman"/>
          <w:bCs/>
          <w:color w:val="1F3864" w:themeColor="accent1" w:themeShade="80"/>
          <w:sz w:val="24"/>
          <w:szCs w:val="24"/>
        </w:rPr>
        <w:t xml:space="preserve">Reps ask FG to set up National Council on Public Procurement. </w:t>
      </w:r>
      <w:r w:rsidRPr="00842A16">
        <w:rPr>
          <w:rFonts w:ascii="Book Antiqua" w:eastAsia="Calibri" w:hAnsi="Book Antiqua" w:cs="Times New Roman"/>
          <w:bCs/>
          <w:i/>
          <w:color w:val="1F3864" w:themeColor="accent1" w:themeShade="80"/>
          <w:sz w:val="24"/>
          <w:szCs w:val="24"/>
        </w:rPr>
        <w:t xml:space="preserve">BusinessDay, </w:t>
      </w:r>
      <w:r w:rsidRPr="00842A16">
        <w:rPr>
          <w:rFonts w:ascii="Book Antiqua" w:eastAsia="Calibri" w:hAnsi="Book Antiqua" w:cs="Times New Roman"/>
          <w:bCs/>
          <w:color w:val="1F3864" w:themeColor="accent1" w:themeShade="80"/>
          <w:sz w:val="24"/>
          <w:szCs w:val="24"/>
        </w:rPr>
        <w:t>Thursday July 23, 2020.</w:t>
      </w:r>
      <w:r w:rsidRPr="00842A16">
        <w:rPr>
          <w:rFonts w:ascii="Book Antiqua" w:eastAsia="Calibri" w:hAnsi="Book Antiqua" w:cs="Times New Roman"/>
          <w:color w:val="1F3864" w:themeColor="accent1" w:themeShade="80"/>
          <w:sz w:val="24"/>
          <w:szCs w:val="24"/>
        </w:rPr>
        <w:t xml:space="preserve"> </w:t>
      </w:r>
      <w:hyperlink r:id="rId23" w:history="1">
        <w:r w:rsidRPr="00842A16">
          <w:rPr>
            <w:rFonts w:ascii="Book Antiqua" w:eastAsia="Calibri" w:hAnsi="Book Antiqua" w:cs="Times New Roman"/>
            <w:bCs/>
            <w:color w:val="1F3864" w:themeColor="accent1" w:themeShade="80"/>
            <w:sz w:val="24"/>
            <w:szCs w:val="24"/>
            <w:u w:val="single"/>
          </w:rPr>
          <w:t>https://businessday.ng/news/article/reps-ask-fg-to-set-up-national-council-on-public-procurement/</w:t>
        </w:r>
      </w:hyperlink>
      <w:r w:rsidRPr="00842A16">
        <w:rPr>
          <w:rFonts w:ascii="Book Antiqua" w:eastAsia="Calibri" w:hAnsi="Book Antiqua" w:cs="Times New Roman"/>
          <w:bCs/>
          <w:color w:val="1F3864" w:themeColor="accent1" w:themeShade="80"/>
          <w:sz w:val="24"/>
          <w:szCs w:val="24"/>
        </w:rPr>
        <w:t xml:space="preserve"> </w:t>
      </w:r>
      <w:r w:rsidRPr="00842A16">
        <w:rPr>
          <w:rFonts w:ascii="Book Antiqua" w:eastAsia="Calibri" w:hAnsi="Book Antiqua" w:cs="Times New Roman"/>
          <w:color w:val="1F3864" w:themeColor="accent1" w:themeShade="80"/>
          <w:sz w:val="24"/>
          <w:szCs w:val="24"/>
        </w:rPr>
        <w:t>Accessed September 8, 2022</w:t>
      </w:r>
    </w:p>
    <w:p w14:paraId="156416BC" w14:textId="77777777" w:rsidR="003A254A" w:rsidRPr="00842A16" w:rsidRDefault="003A254A" w:rsidP="003A254A">
      <w:pPr>
        <w:jc w:val="both"/>
        <w:rPr>
          <w:rFonts w:ascii="Book Antiqua" w:eastAsia="Calibri" w:hAnsi="Book Antiqua" w:cs="Times New Roman"/>
          <w:color w:val="1F3864" w:themeColor="accent1" w:themeShade="80"/>
          <w:sz w:val="24"/>
          <w:szCs w:val="24"/>
        </w:rPr>
      </w:pPr>
      <w:r w:rsidRPr="00842A16">
        <w:rPr>
          <w:rFonts w:ascii="Book Antiqua" w:eastAsia="Calibri" w:hAnsi="Book Antiqua" w:cs="Times New Roman"/>
          <w:color w:val="1F3864" w:themeColor="accent1" w:themeShade="80"/>
          <w:sz w:val="24"/>
          <w:szCs w:val="24"/>
        </w:rPr>
        <w:t>G20 Principles for Promoting Integrity in Public Procurement</w:t>
      </w:r>
    </w:p>
    <w:sectPr w:rsidR="003A254A" w:rsidRPr="00842A16" w:rsidSect="00AF342E">
      <w:headerReference w:type="even" r:id="rId24"/>
      <w:headerReference w:type="default" r:id="rId25"/>
      <w:footerReference w:type="even" r:id="rId26"/>
      <w:footerReference w:type="default" r:id="rId27"/>
      <w:headerReference w:type="first" r:id="rId28"/>
      <w:footerReference w:type="first" r:id="rId29"/>
      <w:pgSz w:w="12240" w:h="15840"/>
      <w:pgMar w:top="1440" w:right="1440" w:bottom="1440" w:left="1440" w:header="720" w:footer="720" w:gutter="0"/>
      <w:pgBorders w:offsetFrom="page">
        <w:top w:val="basicWideOutline" w:sz="6" w:space="24" w:color="1F3864" w:themeColor="accent1" w:themeShade="80"/>
        <w:left w:val="basicWideOutline" w:sz="6" w:space="24" w:color="1F3864" w:themeColor="accent1" w:themeShade="80"/>
        <w:bottom w:val="basicWideOutline" w:sz="6" w:space="24" w:color="1F3864" w:themeColor="accent1" w:themeShade="80"/>
        <w:right w:val="basicWideOutline" w:sz="6" w:space="24" w:color="1F3864" w:themeColor="accent1" w:themeShade="80"/>
      </w:pgBorders>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588A85" w14:textId="77777777" w:rsidR="0022579A" w:rsidRDefault="0022579A" w:rsidP="008657BA">
      <w:pPr>
        <w:spacing w:after="0" w:line="240" w:lineRule="auto"/>
      </w:pPr>
      <w:r>
        <w:separator/>
      </w:r>
    </w:p>
  </w:endnote>
  <w:endnote w:type="continuationSeparator" w:id="0">
    <w:p w14:paraId="619532DA" w14:textId="77777777" w:rsidR="0022579A" w:rsidRDefault="0022579A" w:rsidP="008657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scadia Code SemiBold">
    <w:altName w:val="Courier New"/>
    <w:charset w:val="00"/>
    <w:family w:val="modern"/>
    <w:pitch w:val="fixed"/>
    <w:sig w:usb0="A1002AFF" w:usb1="C000F9FB" w:usb2="0004002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7474A1" w14:textId="77777777" w:rsidR="006C32E1" w:rsidRDefault="006C32E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3272351"/>
      <w:docPartObj>
        <w:docPartGallery w:val="Page Numbers (Bottom of Page)"/>
        <w:docPartUnique/>
      </w:docPartObj>
    </w:sdtPr>
    <w:sdtEndPr>
      <w:rPr>
        <w:rFonts w:ascii="Cascadia Code SemiBold" w:hAnsi="Cascadia Code SemiBold" w:cs="Cascadia Code SemiBold"/>
        <w:color w:val="7F7F7F" w:themeColor="background1" w:themeShade="7F"/>
        <w:spacing w:val="60"/>
      </w:rPr>
    </w:sdtEndPr>
    <w:sdtContent>
      <w:p w14:paraId="54F50691" w14:textId="3066265D" w:rsidR="008657BA" w:rsidRPr="008657BA" w:rsidRDefault="008657BA">
        <w:pPr>
          <w:pStyle w:val="Footer"/>
          <w:pBdr>
            <w:top w:val="single" w:sz="4" w:space="1" w:color="D9D9D9" w:themeColor="background1" w:themeShade="D9"/>
          </w:pBdr>
          <w:rPr>
            <w:rFonts w:ascii="Cascadia Code SemiBold" w:hAnsi="Cascadia Code SemiBold" w:cs="Cascadia Code SemiBold"/>
            <w:b/>
            <w:bCs/>
          </w:rPr>
        </w:pPr>
        <w:r w:rsidRPr="008657BA">
          <w:rPr>
            <w:rFonts w:ascii="Cascadia Code SemiBold" w:hAnsi="Cascadia Code SemiBold" w:cs="Cascadia Code SemiBold"/>
          </w:rPr>
          <w:fldChar w:fldCharType="begin"/>
        </w:r>
        <w:r w:rsidRPr="008657BA">
          <w:rPr>
            <w:rFonts w:ascii="Cascadia Code SemiBold" w:hAnsi="Cascadia Code SemiBold" w:cs="Cascadia Code SemiBold"/>
          </w:rPr>
          <w:instrText xml:space="preserve"> PAGE   \* MERGEFORMAT </w:instrText>
        </w:r>
        <w:r w:rsidRPr="008657BA">
          <w:rPr>
            <w:rFonts w:ascii="Cascadia Code SemiBold" w:hAnsi="Cascadia Code SemiBold" w:cs="Cascadia Code SemiBold"/>
          </w:rPr>
          <w:fldChar w:fldCharType="separate"/>
        </w:r>
        <w:r w:rsidR="00927564" w:rsidRPr="00927564">
          <w:rPr>
            <w:rFonts w:ascii="Cascadia Code SemiBold" w:hAnsi="Cascadia Code SemiBold" w:cs="Cascadia Code SemiBold"/>
            <w:b/>
            <w:bCs/>
            <w:noProof/>
          </w:rPr>
          <w:t>18</w:t>
        </w:r>
        <w:r w:rsidRPr="008657BA">
          <w:rPr>
            <w:rFonts w:ascii="Cascadia Code SemiBold" w:hAnsi="Cascadia Code SemiBold" w:cs="Cascadia Code SemiBold"/>
            <w:b/>
            <w:bCs/>
            <w:noProof/>
          </w:rPr>
          <w:fldChar w:fldCharType="end"/>
        </w:r>
        <w:r w:rsidRPr="008657BA">
          <w:rPr>
            <w:rFonts w:ascii="Cascadia Code SemiBold" w:hAnsi="Cascadia Code SemiBold" w:cs="Cascadia Code SemiBold"/>
            <w:b/>
            <w:bCs/>
          </w:rPr>
          <w:t xml:space="preserve"> | </w:t>
        </w:r>
        <w:r w:rsidRPr="008657BA">
          <w:rPr>
            <w:rFonts w:ascii="Cascadia Code SemiBold" w:hAnsi="Cascadia Code SemiBold" w:cs="Cascadia Code SemiBold"/>
            <w:color w:val="7F7F7F" w:themeColor="background1" w:themeShade="7F"/>
            <w:spacing w:val="60"/>
          </w:rPr>
          <w:t>Page</w:t>
        </w:r>
      </w:p>
    </w:sdtContent>
  </w:sdt>
  <w:p w14:paraId="77BD4553" w14:textId="77777777" w:rsidR="008657BA" w:rsidRDefault="008657B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4F1827" w14:textId="77777777" w:rsidR="006C32E1" w:rsidRDefault="006C32E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37980B" w14:textId="77777777" w:rsidR="0022579A" w:rsidRDefault="0022579A" w:rsidP="008657BA">
      <w:pPr>
        <w:spacing w:after="0" w:line="240" w:lineRule="auto"/>
      </w:pPr>
      <w:r>
        <w:separator/>
      </w:r>
    </w:p>
  </w:footnote>
  <w:footnote w:type="continuationSeparator" w:id="0">
    <w:p w14:paraId="7306066A" w14:textId="77777777" w:rsidR="0022579A" w:rsidRDefault="0022579A" w:rsidP="008657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9482FF" w14:textId="77777777" w:rsidR="006C32E1" w:rsidRDefault="006C32E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FF033B" w14:textId="77777777" w:rsidR="006C32E1" w:rsidRDefault="006C32E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69F432" w14:textId="77777777" w:rsidR="006C32E1" w:rsidRDefault="006C32E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3421A"/>
    <w:multiLevelType w:val="hybridMultilevel"/>
    <w:tmpl w:val="D7C8CDF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A3C435C"/>
    <w:multiLevelType w:val="hybridMultilevel"/>
    <w:tmpl w:val="34889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C3CBF"/>
    <w:multiLevelType w:val="hybridMultilevel"/>
    <w:tmpl w:val="523645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19D597F"/>
    <w:multiLevelType w:val="hybridMultilevel"/>
    <w:tmpl w:val="A6101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7735EF0"/>
    <w:multiLevelType w:val="hybridMultilevel"/>
    <w:tmpl w:val="AA449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15678C0"/>
    <w:multiLevelType w:val="hybridMultilevel"/>
    <w:tmpl w:val="4AB696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1C04380"/>
    <w:multiLevelType w:val="hybridMultilevel"/>
    <w:tmpl w:val="B9EAEB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1"/>
  </w:num>
  <w:num w:numId="5">
    <w:abstractNumId w:val="5"/>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A4F"/>
    <w:rsid w:val="000027EC"/>
    <w:rsid w:val="00064E69"/>
    <w:rsid w:val="00082AC9"/>
    <w:rsid w:val="000833DF"/>
    <w:rsid w:val="0008519B"/>
    <w:rsid w:val="000958ED"/>
    <w:rsid w:val="00097A4F"/>
    <w:rsid w:val="000A10D9"/>
    <w:rsid w:val="000A2D14"/>
    <w:rsid w:val="000B1FE0"/>
    <w:rsid w:val="000B3C85"/>
    <w:rsid w:val="000C3EAD"/>
    <w:rsid w:val="000D2E03"/>
    <w:rsid w:val="0010070B"/>
    <w:rsid w:val="00101A99"/>
    <w:rsid w:val="00116244"/>
    <w:rsid w:val="001164CB"/>
    <w:rsid w:val="00116BB3"/>
    <w:rsid w:val="00124203"/>
    <w:rsid w:val="00130659"/>
    <w:rsid w:val="00130924"/>
    <w:rsid w:val="001360FF"/>
    <w:rsid w:val="001636ED"/>
    <w:rsid w:val="001727A5"/>
    <w:rsid w:val="0018020B"/>
    <w:rsid w:val="00181066"/>
    <w:rsid w:val="00190B90"/>
    <w:rsid w:val="001A61CA"/>
    <w:rsid w:val="001B5095"/>
    <w:rsid w:val="001C2859"/>
    <w:rsid w:val="001D0ED6"/>
    <w:rsid w:val="001E6115"/>
    <w:rsid w:val="0022213A"/>
    <w:rsid w:val="00222558"/>
    <w:rsid w:val="0022579A"/>
    <w:rsid w:val="00234F2D"/>
    <w:rsid w:val="002400E5"/>
    <w:rsid w:val="00274AF4"/>
    <w:rsid w:val="00280570"/>
    <w:rsid w:val="00292147"/>
    <w:rsid w:val="002A3513"/>
    <w:rsid w:val="002B4436"/>
    <w:rsid w:val="002C37B6"/>
    <w:rsid w:val="002C5E17"/>
    <w:rsid w:val="002D5023"/>
    <w:rsid w:val="002D55BD"/>
    <w:rsid w:val="002E73D1"/>
    <w:rsid w:val="002F482F"/>
    <w:rsid w:val="002F5F75"/>
    <w:rsid w:val="002F72B5"/>
    <w:rsid w:val="00300C33"/>
    <w:rsid w:val="003016D6"/>
    <w:rsid w:val="00307723"/>
    <w:rsid w:val="00323617"/>
    <w:rsid w:val="00376D75"/>
    <w:rsid w:val="00397DBB"/>
    <w:rsid w:val="003A254A"/>
    <w:rsid w:val="003A508F"/>
    <w:rsid w:val="003C4B02"/>
    <w:rsid w:val="003D0546"/>
    <w:rsid w:val="003D3797"/>
    <w:rsid w:val="003F1825"/>
    <w:rsid w:val="00401163"/>
    <w:rsid w:val="00405500"/>
    <w:rsid w:val="004508A6"/>
    <w:rsid w:val="00453C23"/>
    <w:rsid w:val="0047472F"/>
    <w:rsid w:val="004843DE"/>
    <w:rsid w:val="00497941"/>
    <w:rsid w:val="004A6F62"/>
    <w:rsid w:val="004B555E"/>
    <w:rsid w:val="004C0BE1"/>
    <w:rsid w:val="004C24B7"/>
    <w:rsid w:val="004D7600"/>
    <w:rsid w:val="004F11D6"/>
    <w:rsid w:val="00513FF3"/>
    <w:rsid w:val="00516182"/>
    <w:rsid w:val="00520844"/>
    <w:rsid w:val="00533E0F"/>
    <w:rsid w:val="00533E24"/>
    <w:rsid w:val="00555280"/>
    <w:rsid w:val="00575B7F"/>
    <w:rsid w:val="00592815"/>
    <w:rsid w:val="005A5540"/>
    <w:rsid w:val="005B6AE9"/>
    <w:rsid w:val="005C2FDB"/>
    <w:rsid w:val="00602E08"/>
    <w:rsid w:val="00613353"/>
    <w:rsid w:val="006372B1"/>
    <w:rsid w:val="006458BA"/>
    <w:rsid w:val="006531CA"/>
    <w:rsid w:val="006766AF"/>
    <w:rsid w:val="00681B2D"/>
    <w:rsid w:val="00685E31"/>
    <w:rsid w:val="00696F4D"/>
    <w:rsid w:val="006A00C8"/>
    <w:rsid w:val="006C32E1"/>
    <w:rsid w:val="006D04CF"/>
    <w:rsid w:val="00705BB8"/>
    <w:rsid w:val="00706F92"/>
    <w:rsid w:val="00734CA2"/>
    <w:rsid w:val="007352AB"/>
    <w:rsid w:val="007364DF"/>
    <w:rsid w:val="00741742"/>
    <w:rsid w:val="00745B5F"/>
    <w:rsid w:val="00755741"/>
    <w:rsid w:val="00762A3D"/>
    <w:rsid w:val="00763217"/>
    <w:rsid w:val="007674AD"/>
    <w:rsid w:val="00774ED1"/>
    <w:rsid w:val="007A6338"/>
    <w:rsid w:val="007C5D93"/>
    <w:rsid w:val="007D778E"/>
    <w:rsid w:val="007E57D4"/>
    <w:rsid w:val="007F3E7F"/>
    <w:rsid w:val="008127AF"/>
    <w:rsid w:val="00820AD2"/>
    <w:rsid w:val="00821671"/>
    <w:rsid w:val="00842A16"/>
    <w:rsid w:val="008657BA"/>
    <w:rsid w:val="00876549"/>
    <w:rsid w:val="0088437F"/>
    <w:rsid w:val="00885BA1"/>
    <w:rsid w:val="008A0FA7"/>
    <w:rsid w:val="008C58E6"/>
    <w:rsid w:val="008D5828"/>
    <w:rsid w:val="008F2A4F"/>
    <w:rsid w:val="009016DE"/>
    <w:rsid w:val="0090444F"/>
    <w:rsid w:val="00912C4E"/>
    <w:rsid w:val="00927564"/>
    <w:rsid w:val="009404E1"/>
    <w:rsid w:val="0095741D"/>
    <w:rsid w:val="00963C4C"/>
    <w:rsid w:val="00966767"/>
    <w:rsid w:val="00985798"/>
    <w:rsid w:val="00990CEE"/>
    <w:rsid w:val="00991BD7"/>
    <w:rsid w:val="00994F03"/>
    <w:rsid w:val="009D4641"/>
    <w:rsid w:val="009E3C83"/>
    <w:rsid w:val="00A2331A"/>
    <w:rsid w:val="00A425BA"/>
    <w:rsid w:val="00A45960"/>
    <w:rsid w:val="00A70F82"/>
    <w:rsid w:val="00A85513"/>
    <w:rsid w:val="00A910A6"/>
    <w:rsid w:val="00A97757"/>
    <w:rsid w:val="00AA48FE"/>
    <w:rsid w:val="00AD1BB3"/>
    <w:rsid w:val="00AD4540"/>
    <w:rsid w:val="00AF342E"/>
    <w:rsid w:val="00B2295B"/>
    <w:rsid w:val="00B41C82"/>
    <w:rsid w:val="00B50513"/>
    <w:rsid w:val="00B64F39"/>
    <w:rsid w:val="00B82EE8"/>
    <w:rsid w:val="00B8759A"/>
    <w:rsid w:val="00B9703B"/>
    <w:rsid w:val="00BA1CAA"/>
    <w:rsid w:val="00BB1970"/>
    <w:rsid w:val="00BB1C10"/>
    <w:rsid w:val="00BB543B"/>
    <w:rsid w:val="00BB7F29"/>
    <w:rsid w:val="00BC5365"/>
    <w:rsid w:val="00BC7273"/>
    <w:rsid w:val="00BF0E88"/>
    <w:rsid w:val="00C133DE"/>
    <w:rsid w:val="00C16EBB"/>
    <w:rsid w:val="00C16FFA"/>
    <w:rsid w:val="00C3315E"/>
    <w:rsid w:val="00C61487"/>
    <w:rsid w:val="00C713B2"/>
    <w:rsid w:val="00C714DA"/>
    <w:rsid w:val="00C76F0F"/>
    <w:rsid w:val="00CA0437"/>
    <w:rsid w:val="00CA135E"/>
    <w:rsid w:val="00CC4A69"/>
    <w:rsid w:val="00CD5371"/>
    <w:rsid w:val="00CE1C8B"/>
    <w:rsid w:val="00D155B9"/>
    <w:rsid w:val="00D17134"/>
    <w:rsid w:val="00D31D38"/>
    <w:rsid w:val="00D3326A"/>
    <w:rsid w:val="00D5121C"/>
    <w:rsid w:val="00D601CD"/>
    <w:rsid w:val="00D64324"/>
    <w:rsid w:val="00DA41A5"/>
    <w:rsid w:val="00DA639C"/>
    <w:rsid w:val="00DB1F0D"/>
    <w:rsid w:val="00DC02B0"/>
    <w:rsid w:val="00E00C66"/>
    <w:rsid w:val="00E1354A"/>
    <w:rsid w:val="00E21D3F"/>
    <w:rsid w:val="00E328A5"/>
    <w:rsid w:val="00E6417E"/>
    <w:rsid w:val="00E8659E"/>
    <w:rsid w:val="00E86B68"/>
    <w:rsid w:val="00E916E8"/>
    <w:rsid w:val="00EA0D2C"/>
    <w:rsid w:val="00EB0B7D"/>
    <w:rsid w:val="00EB615A"/>
    <w:rsid w:val="00ED1205"/>
    <w:rsid w:val="00EE0332"/>
    <w:rsid w:val="00EF1CF4"/>
    <w:rsid w:val="00EF1F26"/>
    <w:rsid w:val="00F53D1A"/>
    <w:rsid w:val="00F56BD7"/>
    <w:rsid w:val="00F7180D"/>
    <w:rsid w:val="00F95C30"/>
    <w:rsid w:val="00F962AE"/>
    <w:rsid w:val="00FA58C5"/>
    <w:rsid w:val="00FC7787"/>
    <w:rsid w:val="00FD11DC"/>
    <w:rsid w:val="00FF19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AC7E3"/>
  <w15:chartTrackingRefBased/>
  <w15:docId w15:val="{C07C4928-DC8D-4761-9399-79B7CB082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86B68"/>
    <w:rPr>
      <w:color w:val="0563C1" w:themeColor="hyperlink"/>
      <w:u w:val="single"/>
    </w:rPr>
  </w:style>
  <w:style w:type="character" w:customStyle="1" w:styleId="UnresolvedMention1">
    <w:name w:val="Unresolved Mention1"/>
    <w:basedOn w:val="DefaultParagraphFont"/>
    <w:uiPriority w:val="99"/>
    <w:semiHidden/>
    <w:unhideWhenUsed/>
    <w:rsid w:val="00E86B68"/>
    <w:rPr>
      <w:color w:val="605E5C"/>
      <w:shd w:val="clear" w:color="auto" w:fill="E1DFDD"/>
    </w:rPr>
  </w:style>
  <w:style w:type="character" w:styleId="FollowedHyperlink">
    <w:name w:val="FollowedHyperlink"/>
    <w:basedOn w:val="DefaultParagraphFont"/>
    <w:uiPriority w:val="99"/>
    <w:semiHidden/>
    <w:unhideWhenUsed/>
    <w:rsid w:val="00A425BA"/>
    <w:rPr>
      <w:color w:val="954F72" w:themeColor="followedHyperlink"/>
      <w:u w:val="single"/>
    </w:rPr>
  </w:style>
  <w:style w:type="paragraph" w:styleId="Header">
    <w:name w:val="header"/>
    <w:basedOn w:val="Normal"/>
    <w:link w:val="HeaderChar"/>
    <w:uiPriority w:val="99"/>
    <w:unhideWhenUsed/>
    <w:rsid w:val="008657BA"/>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57BA"/>
  </w:style>
  <w:style w:type="paragraph" w:styleId="Footer">
    <w:name w:val="footer"/>
    <w:basedOn w:val="Normal"/>
    <w:link w:val="FooterChar"/>
    <w:uiPriority w:val="99"/>
    <w:unhideWhenUsed/>
    <w:rsid w:val="008657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57BA"/>
  </w:style>
  <w:style w:type="table" w:styleId="TableGrid">
    <w:name w:val="Table Grid"/>
    <w:basedOn w:val="TableNormal"/>
    <w:uiPriority w:val="39"/>
    <w:rsid w:val="00274A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B1970"/>
    <w:pPr>
      <w:ind w:left="720"/>
      <w:contextualSpacing/>
    </w:pPr>
  </w:style>
  <w:style w:type="character" w:styleId="CommentReference">
    <w:name w:val="annotation reference"/>
    <w:basedOn w:val="DefaultParagraphFont"/>
    <w:uiPriority w:val="99"/>
    <w:semiHidden/>
    <w:unhideWhenUsed/>
    <w:rsid w:val="0047472F"/>
    <w:rPr>
      <w:sz w:val="16"/>
      <w:szCs w:val="16"/>
    </w:rPr>
  </w:style>
  <w:style w:type="paragraph" w:styleId="CommentText">
    <w:name w:val="annotation text"/>
    <w:basedOn w:val="Normal"/>
    <w:link w:val="CommentTextChar"/>
    <w:uiPriority w:val="99"/>
    <w:semiHidden/>
    <w:unhideWhenUsed/>
    <w:rsid w:val="0047472F"/>
    <w:pPr>
      <w:spacing w:line="240" w:lineRule="auto"/>
    </w:pPr>
    <w:rPr>
      <w:sz w:val="20"/>
      <w:szCs w:val="20"/>
    </w:rPr>
  </w:style>
  <w:style w:type="character" w:customStyle="1" w:styleId="CommentTextChar">
    <w:name w:val="Comment Text Char"/>
    <w:basedOn w:val="DefaultParagraphFont"/>
    <w:link w:val="CommentText"/>
    <w:uiPriority w:val="99"/>
    <w:semiHidden/>
    <w:rsid w:val="0047472F"/>
    <w:rPr>
      <w:sz w:val="20"/>
      <w:szCs w:val="20"/>
    </w:rPr>
  </w:style>
  <w:style w:type="paragraph" w:styleId="BalloonText">
    <w:name w:val="Balloon Text"/>
    <w:basedOn w:val="Normal"/>
    <w:link w:val="BalloonTextChar"/>
    <w:uiPriority w:val="99"/>
    <w:semiHidden/>
    <w:unhideWhenUsed/>
    <w:rsid w:val="0047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472F"/>
    <w:rPr>
      <w:rFonts w:ascii="Segoe UI" w:hAnsi="Segoe UI" w:cs="Segoe UI"/>
      <w:sz w:val="18"/>
      <w:szCs w:val="18"/>
    </w:rPr>
  </w:style>
  <w:style w:type="paragraph" w:styleId="NoSpacing">
    <w:name w:val="No Spacing"/>
    <w:link w:val="NoSpacingChar"/>
    <w:uiPriority w:val="1"/>
    <w:qFormat/>
    <w:rsid w:val="00842A16"/>
    <w:pPr>
      <w:spacing w:after="0" w:line="240" w:lineRule="auto"/>
    </w:pPr>
    <w:rPr>
      <w:rFonts w:eastAsiaTheme="minorEastAsia"/>
    </w:rPr>
  </w:style>
  <w:style w:type="character" w:customStyle="1" w:styleId="NoSpacingChar">
    <w:name w:val="No Spacing Char"/>
    <w:basedOn w:val="DefaultParagraphFont"/>
    <w:link w:val="NoSpacing"/>
    <w:uiPriority w:val="1"/>
    <w:rsid w:val="00842A16"/>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itcilo.org/stories/5-procurement-principles-un-staff-members-should-know" TargetMode="External"/><Relationship Id="rId18" Type="http://schemas.openxmlformats.org/officeDocument/2006/relationships/hyperlink" Target="https://icpc.gov.ng/2022/06/30/poor-procurement-process-fuels-corruption-in-public-sector-icpc-boss/?utm_source=rss&amp;utm_medium=rss&amp;utm_campaign=poor-procurement-process-fuels-corruption-in-public-sector-icpc-boss"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chart" Target="charts/chart1.xml"/><Relationship Id="rId7" Type="http://schemas.openxmlformats.org/officeDocument/2006/relationships/endnotes" Target="endnotes.xml"/><Relationship Id="rId12" Type="http://schemas.openxmlformats.org/officeDocument/2006/relationships/hyperlink" Target="https://www.worldbank.org/en/topic/procurement-for-development" TargetMode="External"/><Relationship Id="rId17" Type="http://schemas.openxmlformats.org/officeDocument/2006/relationships/hyperlink" Target="file:///C:\Users\phili\Documents\dell\Desktop\consultancy\Accountability%20Lab\Edo%20docs\154%20out%20of%20180"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s://iclg.com/practice-areas/public-procurement-laws-and-regulations/nigeria" TargetMode="External"/><Relationship Id="rId20" Type="http://schemas.openxmlformats.org/officeDocument/2006/relationships/image" Target="media/image4.jpeg"/><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orldbank.org/en/topic/procurement-for-development" TargetMode="External"/><Relationship Id="rId24" Type="http://schemas.openxmlformats.org/officeDocument/2006/relationships/header" Target="header1.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bpp.gov.ng/wp-content/uploads/2019/01/Public-Procurement-Act-2007pdf" TargetMode="External"/><Relationship Id="rId23" Type="http://schemas.openxmlformats.org/officeDocument/2006/relationships/hyperlink" Target="https://businessday.ng/news/article/reps-ask-fg-to-set-up-national-council-on-public-procurement/" TargetMode="External"/><Relationship Id="rId28" Type="http://schemas.openxmlformats.org/officeDocument/2006/relationships/header" Target="header3.xml"/><Relationship Id="rId10" Type="http://schemas.openxmlformats.org/officeDocument/2006/relationships/image" Target="media/image3.emf"/><Relationship Id="rId19" Type="http://schemas.openxmlformats.org/officeDocument/2006/relationships/hyperlink" Target="https://guardian.ng/opinion/public-procurement-policy-and-good-governance-in-nigeria/" TargetMode="External"/><Relationship Id="rId31"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bpp.gov.ng/background/" TargetMode="External"/><Relationship Id="rId22" Type="http://schemas.openxmlformats.org/officeDocument/2006/relationships/chart" Target="charts/chart2.xml"/><Relationship Id="rId27" Type="http://schemas.openxmlformats.org/officeDocument/2006/relationships/footer" Target="footer2.xml"/><Relationship Id="rId30"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n-GB" sz="1800" b="0" i="0" baseline="0">
                <a:effectLst/>
              </a:rPr>
              <a:t>EDPPA Staff Chart - September 2022 </a:t>
            </a:r>
          </a:p>
          <a:p>
            <a:pPr marL="0" marR="0" lvl="0" indent="0" algn="ctr" defTabSz="914400" rtl="0" eaLnBrk="1" fontAlgn="auto" latinLnBrk="0" hangingPunct="1">
              <a:lnSpc>
                <a:spcPct val="100000"/>
              </a:lnSpc>
              <a:spcBef>
                <a:spcPts val="0"/>
              </a:spcBef>
              <a:spcAft>
                <a:spcPts val="0"/>
              </a:spcAft>
              <a:buClrTx/>
              <a:buSzTx/>
              <a:buFontTx/>
              <a:buNone/>
              <a:tabLst/>
              <a:defRPr>
                <a:solidFill>
                  <a:sysClr val="windowText" lastClr="000000">
                    <a:lumMod val="65000"/>
                    <a:lumOff val="35000"/>
                  </a:sysClr>
                </a:solidFill>
              </a:defRPr>
            </a:pPr>
            <a:endParaRPr lang="en-US"/>
          </a:p>
        </c:rich>
      </c:tx>
      <c:layout>
        <c:manualLayout>
          <c:xMode val="edge"/>
          <c:yMode val="edge"/>
          <c:x val="0.18805555555555559"/>
          <c:y val="2.3809523809523808E-2"/>
        </c:manualLayout>
      </c:layout>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endParaRPr lang="en-US"/>
        </a:p>
      </c:txPr>
    </c:title>
    <c:autoTitleDeleted val="0"/>
    <c:plotArea>
      <c:layout>
        <c:manualLayout>
          <c:layoutTarget val="inner"/>
          <c:xMode val="edge"/>
          <c:yMode val="edge"/>
          <c:x val="8.6476337134710715E-2"/>
          <c:y val="0.15276491374615617"/>
          <c:w val="0.62973650448010265"/>
          <c:h val="0.78105377233462037"/>
        </c:manualLayout>
      </c:layout>
      <c:barChart>
        <c:barDir val="col"/>
        <c:grouping val="clustered"/>
        <c:varyColors val="1"/>
        <c:ser>
          <c:idx val="0"/>
          <c:order val="0"/>
          <c:tx>
            <c:strRef>
              <c:f>Sheet1!$B$1</c:f>
              <c:strCache>
                <c:ptCount val="1"/>
                <c:pt idx="0">
                  <c:v>EDPPA Staff Chart - September 2022 </c:v>
                </c:pt>
              </c:strCache>
            </c:strRef>
          </c:tx>
          <c:invertIfNegative val="0"/>
          <c:dPt>
            <c:idx val="0"/>
            <c:invertIfNegative val="0"/>
            <c:bubble3D val="0"/>
            <c:spPr>
              <a:solidFill>
                <a:schemeClr val="accent6"/>
              </a:solidFill>
              <a:ln>
                <a:noFill/>
              </a:ln>
              <a:effectLst/>
            </c:spPr>
            <c:extLst xmlns:c16r2="http://schemas.microsoft.com/office/drawing/2015/06/chart">
              <c:ext xmlns:c16="http://schemas.microsoft.com/office/drawing/2014/chart" uri="{C3380CC4-5D6E-409C-BE32-E72D297353CC}">
                <c16:uniqueId val="{00000001-31D1-4F23-95C8-F80F761562DF}"/>
              </c:ext>
            </c:extLst>
          </c:dPt>
          <c:dPt>
            <c:idx val="1"/>
            <c:invertIfNegative val="0"/>
            <c:bubble3D val="0"/>
            <c:spPr>
              <a:solidFill>
                <a:schemeClr val="accent5"/>
              </a:solidFill>
              <a:ln>
                <a:noFill/>
              </a:ln>
              <a:effectLst/>
            </c:spPr>
            <c:extLst xmlns:c16r2="http://schemas.microsoft.com/office/drawing/2015/06/chart">
              <c:ext xmlns:c16="http://schemas.microsoft.com/office/drawing/2014/chart" uri="{C3380CC4-5D6E-409C-BE32-E72D297353CC}">
                <c16:uniqueId val="{00000003-31D1-4F23-95C8-F80F761562DF}"/>
              </c:ext>
            </c:extLst>
          </c:dPt>
          <c:dPt>
            <c:idx val="2"/>
            <c:invertIfNegative val="0"/>
            <c:bubble3D val="0"/>
            <c:spPr>
              <a:solidFill>
                <a:schemeClr val="accent4"/>
              </a:solidFill>
              <a:ln>
                <a:noFill/>
              </a:ln>
              <a:effectLst/>
            </c:spPr>
            <c:extLst xmlns:c16r2="http://schemas.microsoft.com/office/drawing/2015/06/chart">
              <c:ext xmlns:c16="http://schemas.microsoft.com/office/drawing/2014/chart" uri="{C3380CC4-5D6E-409C-BE32-E72D297353CC}">
                <c16:uniqueId val="{00000005-31D1-4F23-95C8-F80F761562DF}"/>
              </c:ext>
            </c:extLst>
          </c:dPt>
          <c:dPt>
            <c:idx val="3"/>
            <c:invertIfNegative val="0"/>
            <c:bubble3D val="0"/>
            <c:spPr>
              <a:solidFill>
                <a:schemeClr val="accent6">
                  <a:lumMod val="60000"/>
                </a:schemeClr>
              </a:solidFill>
              <a:ln>
                <a:noFill/>
              </a:ln>
              <a:effectLst/>
            </c:spPr>
            <c:extLst xmlns:c16r2="http://schemas.microsoft.com/office/drawing/2015/06/chart">
              <c:ext xmlns:c16="http://schemas.microsoft.com/office/drawing/2014/chart" uri="{C3380CC4-5D6E-409C-BE32-E72D297353CC}">
                <c16:uniqueId val="{00000007-31D1-4F23-95C8-F80F761562DF}"/>
              </c:ext>
            </c:extLst>
          </c:dPt>
          <c:dPt>
            <c:idx val="4"/>
            <c:invertIfNegative val="0"/>
            <c:bubble3D val="0"/>
            <c:spPr>
              <a:solidFill>
                <a:schemeClr val="accent5">
                  <a:lumMod val="60000"/>
                </a:schemeClr>
              </a:solidFill>
              <a:ln>
                <a:noFill/>
              </a:ln>
              <a:effectLst/>
            </c:spPr>
            <c:extLst xmlns:c16r2="http://schemas.microsoft.com/office/drawing/2015/06/chart">
              <c:ext xmlns:c16="http://schemas.microsoft.com/office/drawing/2014/chart" uri="{C3380CC4-5D6E-409C-BE32-E72D297353CC}">
                <c16:uniqueId val="{00000009-31D1-4F23-95C8-F80F761562DF}"/>
              </c:ext>
            </c:extLst>
          </c:dPt>
          <c:dPt>
            <c:idx val="5"/>
            <c:invertIfNegative val="0"/>
            <c:bubble3D val="0"/>
            <c:spPr>
              <a:solidFill>
                <a:schemeClr val="accent4">
                  <a:lumMod val="60000"/>
                </a:schemeClr>
              </a:solidFill>
              <a:ln>
                <a:noFill/>
              </a:ln>
              <a:effectLst/>
            </c:spPr>
            <c:extLst xmlns:c16r2="http://schemas.microsoft.com/office/drawing/2015/06/chart">
              <c:ext xmlns:c16="http://schemas.microsoft.com/office/drawing/2014/chart" uri="{C3380CC4-5D6E-409C-BE32-E72D297353CC}">
                <c16:uniqueId val="{0000000B-31D1-4F23-95C8-F80F761562DF}"/>
              </c:ext>
            </c:extLst>
          </c:dPt>
          <c:dPt>
            <c:idx val="6"/>
            <c:invertIfNegative val="0"/>
            <c:bubble3D val="0"/>
            <c:spPr>
              <a:solidFill>
                <a:schemeClr val="accent6">
                  <a:lumMod val="80000"/>
                  <a:lumOff val="20000"/>
                </a:schemeClr>
              </a:solidFill>
              <a:ln>
                <a:noFill/>
              </a:ln>
              <a:effectLst/>
            </c:spPr>
            <c:extLst xmlns:c16r2="http://schemas.microsoft.com/office/drawing/2015/06/chart">
              <c:ext xmlns:c16="http://schemas.microsoft.com/office/drawing/2014/chart" uri="{C3380CC4-5D6E-409C-BE32-E72D297353CC}">
                <c16:uniqueId val="{0000000D-31D1-4F23-95C8-F80F761562DF}"/>
              </c:ext>
            </c:extLst>
          </c:dPt>
          <c:dPt>
            <c:idx val="7"/>
            <c:invertIfNegative val="0"/>
            <c:bubble3D val="0"/>
            <c:spPr>
              <a:solidFill>
                <a:schemeClr val="accent5">
                  <a:lumMod val="80000"/>
                  <a:lumOff val="20000"/>
                </a:schemeClr>
              </a:solidFill>
              <a:ln>
                <a:noFill/>
              </a:ln>
              <a:effectLst/>
            </c:spPr>
            <c:extLst xmlns:c16r2="http://schemas.microsoft.com/office/drawing/2015/06/chart">
              <c:ext xmlns:c16="http://schemas.microsoft.com/office/drawing/2014/chart" uri="{C3380CC4-5D6E-409C-BE32-E72D297353CC}">
                <c16:uniqueId val="{0000000F-31D1-4F23-95C8-F80F761562DF}"/>
              </c:ext>
            </c:extLst>
          </c:dPt>
          <c:dPt>
            <c:idx val="8"/>
            <c:invertIfNegative val="0"/>
            <c:bubble3D val="0"/>
            <c:spPr>
              <a:solidFill>
                <a:schemeClr val="accent4">
                  <a:lumMod val="80000"/>
                  <a:lumOff val="20000"/>
                </a:schemeClr>
              </a:solidFill>
              <a:ln>
                <a:noFill/>
              </a:ln>
              <a:effectLst/>
            </c:spPr>
            <c:extLst xmlns:c16r2="http://schemas.microsoft.com/office/drawing/2015/06/chart">
              <c:ext xmlns:c16="http://schemas.microsoft.com/office/drawing/2014/chart" uri="{C3380CC4-5D6E-409C-BE32-E72D297353CC}">
                <c16:uniqueId val="{00000011-31D1-4F23-95C8-F80F761562DF}"/>
              </c:ext>
            </c:extLst>
          </c:dPt>
          <c:dPt>
            <c:idx val="9"/>
            <c:invertIfNegative val="0"/>
            <c:bubble3D val="0"/>
            <c:spPr>
              <a:solidFill>
                <a:schemeClr val="accent6">
                  <a:lumMod val="80000"/>
                </a:schemeClr>
              </a:solidFill>
              <a:ln>
                <a:noFill/>
              </a:ln>
              <a:effectLst/>
            </c:spPr>
            <c:extLst xmlns:c16r2="http://schemas.microsoft.com/office/drawing/2015/06/chart">
              <c:ext xmlns:c16="http://schemas.microsoft.com/office/drawing/2014/chart" uri="{C3380CC4-5D6E-409C-BE32-E72D297353CC}">
                <c16:uniqueId val="{00000013-31D1-4F23-95C8-F80F761562DF}"/>
              </c:ext>
            </c:extLst>
          </c:dPt>
          <c:dPt>
            <c:idx val="10"/>
            <c:invertIfNegative val="0"/>
            <c:bubble3D val="0"/>
            <c:spPr>
              <a:solidFill>
                <a:schemeClr val="accent5">
                  <a:lumMod val="80000"/>
                </a:schemeClr>
              </a:solidFill>
              <a:ln>
                <a:noFill/>
              </a:ln>
              <a:effectLst/>
            </c:spPr>
            <c:extLst xmlns:c16r2="http://schemas.microsoft.com/office/drawing/2015/06/chart">
              <c:ext xmlns:c16="http://schemas.microsoft.com/office/drawing/2014/chart" uri="{C3380CC4-5D6E-409C-BE32-E72D297353CC}">
                <c16:uniqueId val="{00000015-31D1-4F23-95C8-F80F761562DF}"/>
              </c:ext>
            </c:extLst>
          </c:dPt>
          <c:dPt>
            <c:idx val="11"/>
            <c:invertIfNegative val="0"/>
            <c:bubble3D val="0"/>
            <c:spPr>
              <a:solidFill>
                <a:schemeClr val="accent4">
                  <a:lumMod val="80000"/>
                </a:schemeClr>
              </a:solidFill>
              <a:ln>
                <a:noFill/>
              </a:ln>
              <a:effectLst/>
            </c:spPr>
            <c:extLst xmlns:c16r2="http://schemas.microsoft.com/office/drawing/2015/06/chart">
              <c:ext xmlns:c16="http://schemas.microsoft.com/office/drawing/2014/chart" uri="{C3380CC4-5D6E-409C-BE32-E72D297353CC}">
                <c16:uniqueId val="{00000017-31D1-4F23-95C8-F80F761562DF}"/>
              </c:ext>
            </c:extLst>
          </c:dPt>
          <c:dPt>
            <c:idx val="12"/>
            <c:invertIfNegative val="0"/>
            <c:bubble3D val="0"/>
            <c:spPr>
              <a:solidFill>
                <a:schemeClr val="accent6">
                  <a:lumMod val="60000"/>
                  <a:lumOff val="40000"/>
                </a:schemeClr>
              </a:solidFill>
              <a:ln>
                <a:noFill/>
              </a:ln>
              <a:effectLst/>
            </c:spPr>
            <c:extLst xmlns:c16r2="http://schemas.microsoft.com/office/drawing/2015/06/chart">
              <c:ext xmlns:c16="http://schemas.microsoft.com/office/drawing/2014/chart" uri="{C3380CC4-5D6E-409C-BE32-E72D297353CC}">
                <c16:uniqueId val="{00000019-31D1-4F23-95C8-F80F761562DF}"/>
              </c:ext>
            </c:extLst>
          </c:dPt>
          <c:cat>
            <c:strRef>
              <c:f>Sheet1!$A$2:$A$14</c:f>
              <c:strCache>
                <c:ptCount val="13"/>
                <c:pt idx="0">
                  <c:v>Managing Director</c:v>
                </c:pt>
                <c:pt idx="1">
                  <c:v>Senior  Bureaucrats</c:v>
                </c:pt>
                <c:pt idx="2">
                  <c:v>Procurement Officers</c:v>
                </c:pt>
                <c:pt idx="3">
                  <c:v>Accountants</c:v>
                </c:pt>
                <c:pt idx="4">
                  <c:v>Engineers</c:v>
                </c:pt>
                <c:pt idx="5">
                  <c:v>Quantity Surveryor</c:v>
                </c:pt>
                <c:pt idx="6">
                  <c:v>Industrial Promotion Officers</c:v>
                </c:pt>
                <c:pt idx="7">
                  <c:v>Scientific officer</c:v>
                </c:pt>
                <c:pt idx="8">
                  <c:v>Higher Technical Officer</c:v>
                </c:pt>
                <c:pt idx="9">
                  <c:v>Higher Executive Officer</c:v>
                </c:pt>
                <c:pt idx="10">
                  <c:v>Statistician</c:v>
                </c:pt>
                <c:pt idx="11">
                  <c:v>Cooperative Officer</c:v>
                </c:pt>
                <c:pt idx="12">
                  <c:v>Support Staff</c:v>
                </c:pt>
              </c:strCache>
            </c:strRef>
          </c:cat>
          <c:val>
            <c:numRef>
              <c:f>Sheet1!$B$2:$B$14</c:f>
              <c:numCache>
                <c:formatCode>General</c:formatCode>
                <c:ptCount val="13"/>
                <c:pt idx="0">
                  <c:v>1</c:v>
                </c:pt>
                <c:pt idx="1">
                  <c:v>2</c:v>
                </c:pt>
                <c:pt idx="2">
                  <c:v>32</c:v>
                </c:pt>
                <c:pt idx="3">
                  <c:v>2</c:v>
                </c:pt>
                <c:pt idx="4">
                  <c:v>2</c:v>
                </c:pt>
                <c:pt idx="5">
                  <c:v>1</c:v>
                </c:pt>
                <c:pt idx="6">
                  <c:v>2</c:v>
                </c:pt>
                <c:pt idx="7">
                  <c:v>1</c:v>
                </c:pt>
                <c:pt idx="8">
                  <c:v>1</c:v>
                </c:pt>
                <c:pt idx="9">
                  <c:v>1</c:v>
                </c:pt>
                <c:pt idx="10">
                  <c:v>1</c:v>
                </c:pt>
                <c:pt idx="11">
                  <c:v>1</c:v>
                </c:pt>
                <c:pt idx="12">
                  <c:v>6</c:v>
                </c:pt>
              </c:numCache>
            </c:numRef>
          </c:val>
          <c:extLst xmlns:c16r2="http://schemas.microsoft.com/office/drawing/2015/06/chart">
            <c:ext xmlns:c16="http://schemas.microsoft.com/office/drawing/2014/chart" uri="{C3380CC4-5D6E-409C-BE32-E72D297353CC}">
              <c16:uniqueId val="{0000001A-31D1-4F23-95C8-F80F761562DF}"/>
            </c:ext>
          </c:extLst>
        </c:ser>
        <c:dLbls>
          <c:showLegendKey val="0"/>
          <c:showVal val="0"/>
          <c:showCatName val="0"/>
          <c:showSerName val="0"/>
          <c:showPercent val="0"/>
          <c:showBubbleSize val="0"/>
        </c:dLbls>
        <c:gapWidth val="219"/>
        <c:axId val="410036024"/>
        <c:axId val="410036416"/>
      </c:barChart>
      <c:catAx>
        <c:axId val="410036024"/>
        <c:scaling>
          <c:orientation val="minMax"/>
        </c:scaling>
        <c:delete val="1"/>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sz="1400"/>
                  <a:t>Designation</a:t>
                </a:r>
              </a:p>
            </c:rich>
          </c:tx>
          <c:layout>
            <c:manualLayout>
              <c:xMode val="edge"/>
              <c:yMode val="edge"/>
              <c:x val="0.39077718417359786"/>
              <c:y val="0.93278875884626666"/>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crossAx val="410036416"/>
        <c:crosses val="autoZero"/>
        <c:auto val="1"/>
        <c:lblAlgn val="ctr"/>
        <c:lblOffset val="100"/>
        <c:noMultiLvlLbl val="0"/>
      </c:catAx>
      <c:valAx>
        <c:axId val="41003641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sz="1200"/>
                  <a:t>Number</a:t>
                </a:r>
              </a:p>
            </c:rich>
          </c:tx>
          <c:layout>
            <c:manualLayout>
              <c:xMode val="edge"/>
              <c:yMode val="edge"/>
              <c:x val="8.730765033286042E-3"/>
              <c:y val="0.322462578293158"/>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0036024"/>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a:scene3d>
      <a:camera prst="orthographicFront"/>
      <a:lightRig rig="threePt" dir="t"/>
    </a:scene3d>
    <a:sp3d prstMaterial="dkEdge">
      <a:bevelT/>
      <a:bevelB/>
    </a:sp3d>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EDPPA Geder Distribution September  - 2022</c:v>
                </c:pt>
              </c:strCache>
            </c:strRef>
          </c:tx>
          <c:spPr>
            <a:scene3d>
              <a:camera prst="orthographicFront"/>
              <a:lightRig rig="threePt" dir="t"/>
            </a:scene3d>
            <a:sp3d prstMaterial="dkEdge">
              <a:bevelT/>
            </a:sp3d>
          </c:spPr>
          <c:dPt>
            <c:idx val="0"/>
            <c:bubble3D val="0"/>
            <c:spPr>
              <a:solidFill>
                <a:schemeClr val="accent1"/>
              </a:solidFill>
              <a:ln>
                <a:noFill/>
              </a:ln>
              <a:effectLst>
                <a:outerShdw blurRad="317500" algn="ctr" rotWithShape="0">
                  <a:prstClr val="black">
                    <a:alpha val="25000"/>
                  </a:prstClr>
                </a:outerShdw>
              </a:effectLst>
              <a:scene3d>
                <a:camera prst="orthographicFront"/>
                <a:lightRig rig="threePt" dir="t"/>
              </a:scene3d>
              <a:sp3d prstMaterial="dkEdge">
                <a:bevelT/>
              </a:sp3d>
            </c:spPr>
            <c:extLst xmlns:c16r2="http://schemas.microsoft.com/office/drawing/2015/06/chart">
              <c:ext xmlns:c16="http://schemas.microsoft.com/office/drawing/2014/chart" uri="{C3380CC4-5D6E-409C-BE32-E72D297353CC}">
                <c16:uniqueId val="{00000001-CFA1-4AEF-BEB0-A35BCA5776DD}"/>
              </c:ext>
            </c:extLst>
          </c:dPt>
          <c:dPt>
            <c:idx val="1"/>
            <c:bubble3D val="0"/>
            <c:spPr>
              <a:solidFill>
                <a:schemeClr val="accent2"/>
              </a:solidFill>
              <a:ln>
                <a:noFill/>
              </a:ln>
              <a:effectLst>
                <a:outerShdw blurRad="317500" algn="ctr" rotWithShape="0">
                  <a:prstClr val="black">
                    <a:alpha val="25000"/>
                  </a:prstClr>
                </a:outerShdw>
              </a:effectLst>
              <a:scene3d>
                <a:camera prst="orthographicFront"/>
                <a:lightRig rig="threePt" dir="t"/>
              </a:scene3d>
              <a:sp3d prstMaterial="dkEdge">
                <a:bevelT/>
              </a:sp3d>
            </c:spPr>
            <c:extLst xmlns:c16r2="http://schemas.microsoft.com/office/drawing/2015/06/chart">
              <c:ext xmlns:c16="http://schemas.microsoft.com/office/drawing/2014/chart" uri="{C3380CC4-5D6E-409C-BE32-E72D297353CC}">
                <c16:uniqueId val="{00000003-CFA1-4AEF-BEB0-A35BCA5776DD}"/>
              </c:ext>
            </c:extLst>
          </c:dPt>
          <c:dPt>
            <c:idx val="2"/>
            <c:bubble3D val="0"/>
            <c:spPr>
              <a:solidFill>
                <a:schemeClr val="accent3"/>
              </a:solidFill>
              <a:ln>
                <a:noFill/>
              </a:ln>
              <a:effectLst>
                <a:outerShdw blurRad="317500" algn="ctr" rotWithShape="0">
                  <a:prstClr val="black">
                    <a:alpha val="25000"/>
                  </a:prstClr>
                </a:outerShdw>
              </a:effectLst>
              <a:scene3d>
                <a:camera prst="orthographicFront"/>
                <a:lightRig rig="threePt" dir="t"/>
              </a:scene3d>
              <a:sp3d prstMaterial="dkEdge">
                <a:bevelT/>
              </a:sp3d>
            </c:spPr>
            <c:extLst xmlns:c16r2="http://schemas.microsoft.com/office/drawing/2015/06/chart">
              <c:ext xmlns:c16="http://schemas.microsoft.com/office/drawing/2014/chart" uri="{C3380CC4-5D6E-409C-BE32-E72D297353CC}">
                <c16:uniqueId val="{00000005-CFA1-4AEF-BEB0-A35BCA5776DD}"/>
              </c:ext>
            </c:extLst>
          </c:dPt>
          <c:dPt>
            <c:idx val="3"/>
            <c:bubble3D val="0"/>
            <c:spPr>
              <a:solidFill>
                <a:schemeClr val="accent4"/>
              </a:solidFill>
              <a:ln>
                <a:noFill/>
              </a:ln>
              <a:effectLst>
                <a:outerShdw blurRad="317500" algn="ctr" rotWithShape="0">
                  <a:prstClr val="black">
                    <a:alpha val="25000"/>
                  </a:prstClr>
                </a:outerShdw>
              </a:effectLst>
              <a:scene3d>
                <a:camera prst="orthographicFront"/>
                <a:lightRig rig="threePt" dir="t"/>
              </a:scene3d>
              <a:sp3d prstMaterial="dkEdge">
                <a:bevelT/>
              </a:sp3d>
            </c:spPr>
            <c:extLst xmlns:c16r2="http://schemas.microsoft.com/office/drawing/2015/06/chart">
              <c:ext xmlns:c16="http://schemas.microsoft.com/office/drawing/2014/chart" uri="{C3380CC4-5D6E-409C-BE32-E72D297353CC}">
                <c16:uniqueId val="{00000007-CFA1-4AEF-BEB0-A35BCA5776DD}"/>
              </c:ext>
            </c:extLst>
          </c:dPt>
          <c:dLbls>
            <c:dLbl>
              <c:idx val="0"/>
              <c:tx>
                <c:rich>
                  <a:bodyPr/>
                  <a:lstStyle/>
                  <a:p>
                    <a:fld id="{CA50D3DB-0849-44F4-89FD-5A8E8191FBE1}" type="CATEGORYNAME">
                      <a:rPr lang="en-US" baseline="0"/>
                      <a:pPr/>
                      <a:t>[CATEGORY NAME]</a:t>
                    </a:fld>
                    <a:r>
                      <a:rPr lang="en-US" baseline="0"/>
                      <a:t> (</a:t>
                    </a:r>
                    <a:fld id="{E67020D9-2F18-4060-9DA4-CE6B88317847}" type="VALUE">
                      <a:rPr lang="en-US" sz="800" b="0" i="0" u="none" strike="noStrike" kern="1200" baseline="0">
                        <a:solidFill>
                          <a:sysClr val="windowText" lastClr="000000">
                            <a:lumMod val="65000"/>
                            <a:lumOff val="35000"/>
                          </a:sysClr>
                        </a:solidFill>
                      </a:rPr>
                      <a:pPr/>
                      <a:t>[VALUE]</a:t>
                    </a:fld>
                    <a:r>
                      <a:rPr lang="en-US" sz="800" b="0" i="0" u="none" strike="noStrike" kern="1200" baseline="0">
                        <a:solidFill>
                          <a:sysClr val="windowText" lastClr="000000">
                            <a:lumMod val="65000"/>
                            <a:lumOff val="35000"/>
                          </a:sysClr>
                        </a:solidFill>
                      </a:rPr>
                      <a:t>)</a:t>
                    </a:r>
                    <a:r>
                      <a:rPr lang="en-US" baseline="0"/>
                      <a:t> </a:t>
                    </a:r>
                    <a:fld id="{DD504314-79EE-4D95-B5B4-E522BA7898BB}" type="PERCENTAGE">
                      <a:rPr lang="en-US" baseline="0"/>
                      <a:pPr/>
                      <a:t>[PERCENTAGE]</a:t>
                    </a:fld>
                    <a:endParaRPr lang="en-US" baseline="0"/>
                  </a:p>
                </c:rich>
              </c:tx>
              <c:dLblPos val="inEnd"/>
              <c:showLegendKey val="0"/>
              <c:showVal val="0"/>
              <c:showCatName val="1"/>
              <c:showSerName val="1"/>
              <c:showPercent val="1"/>
              <c:showBubbleSize val="0"/>
              <c:extLst xmlns:c16r2="http://schemas.microsoft.com/office/drawing/2015/06/chart">
                <c:ext xmlns:c16="http://schemas.microsoft.com/office/drawing/2014/chart" uri="{C3380CC4-5D6E-409C-BE32-E72D297353CC}">
                  <c16:uniqueId val="{00000001-CFA1-4AEF-BEB0-A35BCA5776DD}"/>
                </c:ext>
                <c:ext xmlns:c15="http://schemas.microsoft.com/office/drawing/2012/chart" uri="{CE6537A1-D6FC-4f65-9D91-7224C49458BB}">
                  <c15:dlblFieldTable/>
                  <c15:showDataLabelsRange val="0"/>
                </c:ext>
              </c:extLst>
            </c:dLbl>
            <c:dLbl>
              <c:idx val="1"/>
              <c:tx>
                <c:rich>
                  <a:bodyPr/>
                  <a:lstStyle/>
                  <a:p>
                    <a:r>
                      <a:rPr lang="en-US" baseline="0"/>
                      <a:t>Female (</a:t>
                    </a:r>
                    <a:fld id="{AB075E76-7265-4490-8452-43B75C38D092}" type="VALUE">
                      <a:rPr lang="en-US" sz="800" b="0" i="0" u="none" strike="noStrike" kern="1200" baseline="0">
                        <a:solidFill>
                          <a:sysClr val="windowText" lastClr="000000">
                            <a:lumMod val="65000"/>
                            <a:lumOff val="35000"/>
                          </a:sysClr>
                        </a:solidFill>
                      </a:rPr>
                      <a:pPr/>
                      <a:t>[VALUE]</a:t>
                    </a:fld>
                    <a:r>
                      <a:rPr lang="en-US" sz="800" b="0" i="0" u="none" strike="noStrike" kern="1200" baseline="0">
                        <a:solidFill>
                          <a:sysClr val="windowText" lastClr="000000">
                            <a:lumMod val="65000"/>
                            <a:lumOff val="35000"/>
                          </a:sysClr>
                        </a:solidFill>
                      </a:rPr>
                      <a:t>)</a:t>
                    </a:r>
                    <a:r>
                      <a:rPr lang="en-US" baseline="0"/>
                      <a:t> </a:t>
                    </a:r>
                    <a:fld id="{58B7FFD9-4519-4F5E-8D03-C718A8AD3FD9}" type="PERCENTAGE">
                      <a:rPr lang="en-US" baseline="0"/>
                      <a:pPr/>
                      <a:t>[PERCENTAGE]</a:t>
                    </a:fld>
                    <a:endParaRPr lang="en-US" baseline="0"/>
                  </a:p>
                </c:rich>
              </c:tx>
              <c:dLblPos val="inEnd"/>
              <c:showLegendKey val="0"/>
              <c:showVal val="0"/>
              <c:showCatName val="1"/>
              <c:showSerName val="1"/>
              <c:showPercent val="1"/>
              <c:showBubbleSize val="0"/>
              <c:extLst xmlns:c16r2="http://schemas.microsoft.com/office/drawing/2015/06/chart">
                <c:ext xmlns:c16="http://schemas.microsoft.com/office/drawing/2014/chart" uri="{C3380CC4-5D6E-409C-BE32-E72D297353CC}">
                  <c16:uniqueId val="{00000003-CFA1-4AEF-BEB0-A35BCA5776DD}"/>
                </c:ext>
                <c:ext xmlns:c15="http://schemas.microsoft.com/office/drawing/2012/chart" uri="{CE6537A1-D6FC-4f65-9D91-7224C49458BB}">
                  <c15:dlblFieldTable/>
                  <c15:showDataLabelsRange val="0"/>
                </c:ext>
              </c:extLst>
            </c:dLbl>
            <c:spPr>
              <a:solidFill>
                <a:sysClr val="window" lastClr="FFFFFF">
                  <a:alpha val="75000"/>
                </a:sysClr>
              </a:solidFill>
              <a:ln w="9525">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inEnd"/>
            <c:showLegendKey val="0"/>
            <c:showVal val="0"/>
            <c:showCatName val="1"/>
            <c:showSerName val="1"/>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a:noFill/>
                  <a:ln>
                    <a:noFill/>
                  </a:ln>
                </c15:spPr>
              </c:ext>
            </c:extLst>
          </c:dLbls>
          <c:cat>
            <c:strRef>
              <c:f>Sheet1!$A$2:$A$5</c:f>
              <c:strCache>
                <c:ptCount val="2"/>
                <c:pt idx="0">
                  <c:v>Male</c:v>
                </c:pt>
                <c:pt idx="1">
                  <c:v>female</c:v>
                </c:pt>
              </c:strCache>
            </c:strRef>
          </c:cat>
          <c:val>
            <c:numRef>
              <c:f>Sheet1!$B$2:$B$5</c:f>
              <c:numCache>
                <c:formatCode>General</c:formatCode>
                <c:ptCount val="4"/>
                <c:pt idx="0">
                  <c:v>26</c:v>
                </c:pt>
                <c:pt idx="1">
                  <c:v>27</c:v>
                </c:pt>
              </c:numCache>
            </c:numRef>
          </c:val>
          <c:extLst xmlns:c16r2="http://schemas.microsoft.com/office/drawing/2015/06/chart">
            <c:ext xmlns:c16="http://schemas.microsoft.com/office/drawing/2014/chart" uri="{C3380CC4-5D6E-409C-BE32-E72D297353CC}">
              <c16:uniqueId val="{00000000-C228-4A67-A9D7-B1E6000A739D}"/>
            </c:ext>
          </c:extLst>
        </c:ser>
        <c:dLbls>
          <c:dLblPos val="inEnd"/>
          <c:showLegendKey val="0"/>
          <c:showVal val="0"/>
          <c:showCatName val="1"/>
          <c:showSerName val="0"/>
          <c:showPercent val="1"/>
          <c:showBubbleSize val="0"/>
          <c:showLeaderLines val="0"/>
        </c:dLbls>
        <c:firstSliceAng val="0"/>
      </c:pieChart>
      <c:spPr>
        <a:noFill/>
        <a:ln>
          <a:noFill/>
        </a:ln>
        <a:effectLst/>
      </c:spPr>
    </c:plotArea>
    <c:legend>
      <c:legendPos val="b"/>
      <c:overlay val="0"/>
      <c:spPr>
        <a:solidFill>
          <a:schemeClr val="lt1">
            <a:alpha val="78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EA87B5694AD64E4BA51E7EA91061DB62"/>
        <w:category>
          <w:name w:val="General"/>
          <w:gallery w:val="placeholder"/>
        </w:category>
        <w:types>
          <w:type w:val="bbPlcHdr"/>
        </w:types>
        <w:behaviors>
          <w:behavior w:val="content"/>
        </w:behaviors>
        <w:guid w:val="{23F78884-7E41-4D10-A7A7-C06585E9907C}"/>
      </w:docPartPr>
      <w:docPartBody>
        <w:p w:rsidR="00CD67AA" w:rsidRDefault="002F1886" w:rsidP="002F1886">
          <w:pPr>
            <w:pStyle w:val="EA87B5694AD64E4BA51E7EA91061DB62"/>
          </w:pPr>
          <w:r>
            <w:rPr>
              <w:rFonts w:asciiTheme="majorHAnsi" w:eastAsiaTheme="majorEastAsia" w:hAnsiTheme="majorHAnsi" w:cstheme="majorBidi"/>
              <w:caps/>
              <w:color w:val="5B9BD5" w:themeColor="accent1"/>
              <w:sz w:val="80"/>
              <w:szCs w:val="8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scadia Code SemiBold">
    <w:altName w:val="Courier New"/>
    <w:charset w:val="00"/>
    <w:family w:val="modern"/>
    <w:pitch w:val="fixed"/>
    <w:sig w:usb0="A1002AFF" w:usb1="C000F9FB" w:usb2="0004002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886"/>
    <w:rsid w:val="001305F3"/>
    <w:rsid w:val="002F1886"/>
    <w:rsid w:val="00310B42"/>
    <w:rsid w:val="00CD67AA"/>
    <w:rsid w:val="00E15B04"/>
    <w:rsid w:val="00ED77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A87B5694AD64E4BA51E7EA91061DB62">
    <w:name w:val="EA87B5694AD64E4BA51E7EA91061DB62"/>
    <w:rsid w:val="002F188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2022-09-01T00:00:00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1458</TotalTime>
  <Pages>19</Pages>
  <Words>5620</Words>
  <Characters>31473</Characters>
  <Application>Microsoft Office Word</Application>
  <DocSecurity>0</DocSecurity>
  <Lines>476</Lines>
  <Paragraphs>102</Paragraphs>
  <ScaleCrop>false</ScaleCrop>
  <HeadingPairs>
    <vt:vector size="2" baseType="variant">
      <vt:variant>
        <vt:lpstr>Title</vt:lpstr>
      </vt:variant>
      <vt:variant>
        <vt:i4>1</vt:i4>
      </vt:variant>
    </vt:vector>
  </HeadingPairs>
  <TitlesOfParts>
    <vt:vector size="1" baseType="lpstr">
      <vt:lpstr>REPORT OF THE EDO STATE POLICY REVIEW CONSULTANCY FOR THE UNDP’S NIGERIA ANTI-CORRUPTION INNOVATION PROJECT WITH ACCOUNTABILITY LAB NIGERIA AND OPEN CONTRACTING PARTNERSHIP</vt:lpstr>
    </vt:vector>
  </TitlesOfParts>
  <Company/>
  <LinksUpToDate>false</LinksUpToDate>
  <CharactersWithSpaces>36991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OF THE EDO STATE POLICY REVIEW CONSULTANCY FOR THE UNDP’S NIGERIA ANTI-CORRUPTION INNOVATION PROJECT WITH ACCOUNTABILITY LAB NIGERIA AND OPEN CONTRACTING PARTNERSHIP</dc:title>
  <dc:subject>Edo State</dc:subject>
  <dc:creator>philip olayoku</dc:creator>
  <cp:keywords/>
  <dc:description/>
  <cp:lastModifiedBy>Microsoft account</cp:lastModifiedBy>
  <cp:revision>10</cp:revision>
  <dcterms:created xsi:type="dcterms:W3CDTF">2022-09-19T11:10:00Z</dcterms:created>
  <dcterms:modified xsi:type="dcterms:W3CDTF">2022-10-18T13:21:00Z</dcterms:modified>
</cp:coreProperties>
</file>